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EDB" w:rsidRDefault="00BA2EDB">
      <w:pPr>
        <w:spacing w:before="100" w:beforeAutospacing="1" w:after="100" w:afterAutospacing="1"/>
        <w:jc w:val="center"/>
        <w:rPr>
          <w:rFonts w:eastAsia="黑体"/>
          <w:b/>
          <w:bCs/>
          <w:sz w:val="52"/>
          <w:szCs w:val="52"/>
        </w:rPr>
      </w:pPr>
    </w:p>
    <w:p w:rsidR="00BA2EDB" w:rsidRDefault="00BA2EDB">
      <w:pPr>
        <w:spacing w:before="100" w:beforeAutospacing="1" w:after="100" w:afterAutospacing="1"/>
        <w:jc w:val="center"/>
        <w:rPr>
          <w:rFonts w:eastAsia="黑体"/>
          <w:b/>
          <w:bCs/>
          <w:sz w:val="52"/>
          <w:szCs w:val="52"/>
        </w:rPr>
      </w:pPr>
    </w:p>
    <w:p w:rsidR="00BA2EDB" w:rsidRDefault="00BA2EDB">
      <w:pPr>
        <w:spacing w:before="100" w:beforeAutospacing="1" w:after="100" w:afterAutospacing="1"/>
        <w:jc w:val="center"/>
        <w:rPr>
          <w:rFonts w:eastAsia="黑体"/>
          <w:b/>
          <w:bCs/>
          <w:sz w:val="52"/>
          <w:szCs w:val="52"/>
        </w:rPr>
      </w:pPr>
    </w:p>
    <w:p w:rsidR="00BA2EDB" w:rsidRDefault="00C86BD0">
      <w:pPr>
        <w:jc w:val="center"/>
        <w:rPr>
          <w:rFonts w:eastAsia="黑体"/>
          <w:b/>
          <w:bCs/>
          <w:sz w:val="44"/>
          <w:szCs w:val="52"/>
        </w:rPr>
      </w:pPr>
      <w:r>
        <w:rPr>
          <w:rFonts w:eastAsia="黑体"/>
          <w:b/>
          <w:bCs/>
          <w:sz w:val="40"/>
          <w:szCs w:val="52"/>
        </w:rPr>
        <w:t>江苏省城市地价动态监测报告</w:t>
      </w:r>
      <w:r>
        <w:rPr>
          <w:rFonts w:eastAsia="黑体" w:hint="eastAsia"/>
          <w:b/>
          <w:bCs/>
          <w:sz w:val="40"/>
          <w:szCs w:val="52"/>
        </w:rPr>
        <w:t>（</w:t>
      </w:r>
      <w:r>
        <w:rPr>
          <w:rFonts w:eastAsia="黑体" w:hint="eastAsia"/>
          <w:b/>
          <w:bCs/>
          <w:sz w:val="40"/>
          <w:szCs w:val="52"/>
        </w:rPr>
        <w:t>20</w:t>
      </w:r>
      <w:r>
        <w:rPr>
          <w:rFonts w:eastAsia="黑体"/>
          <w:b/>
          <w:bCs/>
          <w:sz w:val="40"/>
          <w:szCs w:val="52"/>
        </w:rPr>
        <w:t>2</w:t>
      </w:r>
      <w:r>
        <w:rPr>
          <w:rFonts w:eastAsia="黑体" w:hint="eastAsia"/>
          <w:b/>
          <w:bCs/>
          <w:sz w:val="40"/>
          <w:szCs w:val="52"/>
        </w:rPr>
        <w:t>2</w:t>
      </w:r>
      <w:r>
        <w:rPr>
          <w:rFonts w:eastAsia="黑体" w:hint="eastAsia"/>
          <w:b/>
          <w:bCs/>
          <w:sz w:val="40"/>
          <w:szCs w:val="52"/>
        </w:rPr>
        <w:t>年度）</w:t>
      </w:r>
    </w:p>
    <w:p w:rsidR="00BA2EDB" w:rsidRDefault="00BA2EDB">
      <w:pPr>
        <w:spacing w:before="100" w:beforeAutospacing="1" w:after="100" w:afterAutospacing="1"/>
        <w:jc w:val="center"/>
        <w:rPr>
          <w:rFonts w:eastAsia="黑体"/>
          <w:b/>
          <w:bCs/>
          <w:sz w:val="48"/>
          <w:szCs w:val="48"/>
        </w:rPr>
      </w:pPr>
    </w:p>
    <w:p w:rsidR="00BA2EDB" w:rsidRDefault="00C86BD0">
      <w:pPr>
        <w:spacing w:before="100" w:beforeAutospacing="1" w:after="100" w:afterAutospacing="1"/>
        <w:jc w:val="center"/>
        <w:rPr>
          <w:rFonts w:eastAsia="黑体"/>
          <w:b/>
          <w:bCs/>
          <w:sz w:val="36"/>
          <w:szCs w:val="48"/>
        </w:rPr>
      </w:pPr>
      <w:r>
        <w:rPr>
          <w:rFonts w:eastAsia="黑体"/>
          <w:b/>
          <w:bCs/>
          <w:sz w:val="36"/>
          <w:szCs w:val="48"/>
        </w:rPr>
        <w:t>（</w:t>
      </w:r>
      <w:r>
        <w:rPr>
          <w:rFonts w:eastAsia="黑体" w:hint="eastAsia"/>
          <w:b/>
          <w:bCs/>
          <w:sz w:val="36"/>
          <w:szCs w:val="48"/>
        </w:rPr>
        <w:t>发</w:t>
      </w:r>
      <w:r>
        <w:rPr>
          <w:rFonts w:eastAsia="黑体" w:hint="eastAsia"/>
          <w:b/>
          <w:bCs/>
          <w:sz w:val="36"/>
          <w:szCs w:val="48"/>
        </w:rPr>
        <w:t xml:space="preserve"> </w:t>
      </w:r>
      <w:r>
        <w:rPr>
          <w:rFonts w:eastAsia="黑体" w:hint="eastAsia"/>
          <w:b/>
          <w:bCs/>
          <w:sz w:val="36"/>
          <w:szCs w:val="48"/>
        </w:rPr>
        <w:t>布</w:t>
      </w:r>
      <w:r>
        <w:rPr>
          <w:rFonts w:eastAsia="黑体" w:hint="eastAsia"/>
          <w:b/>
          <w:bCs/>
          <w:sz w:val="36"/>
          <w:szCs w:val="48"/>
        </w:rPr>
        <w:t xml:space="preserve"> </w:t>
      </w:r>
      <w:r>
        <w:rPr>
          <w:rFonts w:eastAsia="黑体" w:hint="eastAsia"/>
          <w:b/>
          <w:bCs/>
          <w:sz w:val="36"/>
          <w:szCs w:val="48"/>
        </w:rPr>
        <w:t>稿</w:t>
      </w:r>
      <w:r>
        <w:rPr>
          <w:rFonts w:eastAsia="黑体"/>
          <w:b/>
          <w:bCs/>
          <w:sz w:val="36"/>
          <w:szCs w:val="48"/>
        </w:rPr>
        <w:t>）</w:t>
      </w: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BA2EDB">
      <w:pPr>
        <w:spacing w:before="100" w:beforeAutospacing="1" w:after="100" w:afterAutospacing="1"/>
        <w:jc w:val="center"/>
        <w:rPr>
          <w:rFonts w:eastAsia="黑体"/>
          <w:b/>
          <w:bCs/>
          <w:sz w:val="36"/>
        </w:rPr>
      </w:pPr>
    </w:p>
    <w:p w:rsidR="00BA2EDB" w:rsidRDefault="00C86BD0">
      <w:pPr>
        <w:jc w:val="center"/>
        <w:rPr>
          <w:b/>
          <w:spacing w:val="22"/>
          <w:kern w:val="0"/>
          <w:sz w:val="36"/>
          <w:szCs w:val="36"/>
        </w:rPr>
      </w:pPr>
      <w:r w:rsidRPr="00171BA0">
        <w:rPr>
          <w:b/>
          <w:spacing w:val="63"/>
          <w:kern w:val="0"/>
          <w:sz w:val="36"/>
          <w:szCs w:val="36"/>
          <w:fitText w:val="2800" w:id="-2079082240"/>
        </w:rPr>
        <w:t>江苏省地价</w:t>
      </w:r>
      <w:r w:rsidRPr="00171BA0">
        <w:rPr>
          <w:b/>
          <w:spacing w:val="1"/>
          <w:kern w:val="0"/>
          <w:sz w:val="36"/>
          <w:szCs w:val="36"/>
          <w:fitText w:val="2800" w:id="-2079082240"/>
        </w:rPr>
        <w:t>所</w:t>
      </w:r>
    </w:p>
    <w:p w:rsidR="00BA2EDB" w:rsidRDefault="00C86BD0">
      <w:pPr>
        <w:jc w:val="center"/>
        <w:rPr>
          <w:b/>
          <w:kern w:val="0"/>
          <w:sz w:val="36"/>
          <w:szCs w:val="36"/>
        </w:rPr>
      </w:pPr>
      <w:r w:rsidRPr="00171BA0">
        <w:rPr>
          <w:b/>
          <w:spacing w:val="22"/>
          <w:kern w:val="0"/>
          <w:sz w:val="36"/>
          <w:szCs w:val="36"/>
          <w:fitText w:val="2800" w:id="-2079082239"/>
        </w:rPr>
        <w:t>二〇二</w:t>
      </w:r>
      <w:r w:rsidRPr="00171BA0">
        <w:rPr>
          <w:rFonts w:hint="eastAsia"/>
          <w:b/>
          <w:spacing w:val="22"/>
          <w:kern w:val="0"/>
          <w:sz w:val="36"/>
          <w:szCs w:val="36"/>
          <w:fitText w:val="2800" w:id="-2079082239"/>
        </w:rPr>
        <w:t>三</w:t>
      </w:r>
      <w:r w:rsidRPr="00171BA0">
        <w:rPr>
          <w:b/>
          <w:spacing w:val="22"/>
          <w:kern w:val="0"/>
          <w:sz w:val="36"/>
          <w:szCs w:val="36"/>
          <w:fitText w:val="2800" w:id="-2079082239"/>
        </w:rPr>
        <w:t>年</w:t>
      </w:r>
      <w:r w:rsidR="00171BA0" w:rsidRPr="00171BA0">
        <w:rPr>
          <w:rFonts w:hint="eastAsia"/>
          <w:b/>
          <w:spacing w:val="22"/>
          <w:kern w:val="0"/>
          <w:sz w:val="36"/>
          <w:szCs w:val="36"/>
          <w:fitText w:val="2800" w:id="-2079082239"/>
        </w:rPr>
        <w:t>五</w:t>
      </w:r>
      <w:r w:rsidRPr="00171BA0">
        <w:rPr>
          <w:b/>
          <w:spacing w:val="3"/>
          <w:kern w:val="0"/>
          <w:sz w:val="36"/>
          <w:szCs w:val="36"/>
          <w:fitText w:val="2800" w:id="-2079082239"/>
        </w:rPr>
        <w:t>月</w:t>
      </w:r>
    </w:p>
    <w:p w:rsidR="00BA2EDB" w:rsidRDefault="00BA2EDB">
      <w:pPr>
        <w:jc w:val="center"/>
        <w:rPr>
          <w:b/>
          <w:kern w:val="0"/>
          <w:sz w:val="36"/>
          <w:szCs w:val="36"/>
        </w:rPr>
      </w:pPr>
    </w:p>
    <w:p w:rsidR="00BA2EDB" w:rsidRDefault="00C86BD0">
      <w:pPr>
        <w:spacing w:line="360" w:lineRule="auto"/>
        <w:jc w:val="center"/>
        <w:rPr>
          <w:rFonts w:eastAsia="黑体"/>
          <w:b/>
          <w:bCs/>
          <w:sz w:val="40"/>
        </w:rPr>
      </w:pPr>
      <w:r>
        <w:rPr>
          <w:rFonts w:eastAsia="黑体" w:hint="eastAsia"/>
          <w:b/>
          <w:bCs/>
          <w:sz w:val="40"/>
        </w:rPr>
        <w:lastRenderedPageBreak/>
        <w:t>2022</w:t>
      </w:r>
      <w:r>
        <w:rPr>
          <w:rFonts w:eastAsia="黑体"/>
          <w:b/>
          <w:bCs/>
          <w:sz w:val="40"/>
        </w:rPr>
        <w:t>年度江苏省城市地价动态监测报告</w:t>
      </w:r>
    </w:p>
    <w:p w:rsidR="00BA2EDB" w:rsidRDefault="00C86BD0">
      <w:pPr>
        <w:spacing w:beforeLines="50" w:before="156"/>
        <w:ind w:firstLineChars="200" w:firstLine="640"/>
        <w:outlineLvl w:val="0"/>
        <w:rPr>
          <w:rFonts w:ascii="黑体" w:eastAsia="黑体" w:hAnsi="黑体"/>
          <w:bCs/>
          <w:sz w:val="32"/>
        </w:rPr>
      </w:pPr>
      <w:bookmarkStart w:id="0" w:name="_Toc35243673"/>
      <w:r>
        <w:rPr>
          <w:rFonts w:ascii="黑体" w:eastAsia="黑体" w:hAnsi="黑体"/>
          <w:bCs/>
          <w:sz w:val="32"/>
        </w:rPr>
        <w:t>一、</w:t>
      </w:r>
      <w:r>
        <w:rPr>
          <w:rFonts w:ascii="黑体" w:eastAsia="黑体" w:hAnsi="黑体" w:hint="eastAsia"/>
          <w:bCs/>
          <w:sz w:val="32"/>
        </w:rPr>
        <w:t>2022</w:t>
      </w:r>
      <w:r>
        <w:rPr>
          <w:rFonts w:ascii="黑体" w:eastAsia="黑体" w:hAnsi="黑体"/>
          <w:bCs/>
          <w:sz w:val="32"/>
        </w:rPr>
        <w:t>年度全省城市地价动态监测工作概况</w:t>
      </w:r>
      <w:bookmarkEnd w:id="0"/>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城市地价动态监测是根据土地市场的特点，通过设立地价监测点，收集、处理并生成系列的地价指标，对城市地价状况进行观测、描述和评价的过程。</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全省各设区市、县（市、区）通过确定监测范围、划分地价区段、设立地价监测点，按季度对监测范围内地价监测点的地价信息进行收集整理、评估分析，形成市、县级动态监测成果，省级在此基础上按年度汇总形成地价监测报告并向社会发布。城市地价动态监测工作反映土地价格走势和市场运行态势，提供客观的地价信息，为加强地价管理及市场调控提供决策依据。</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在开展城市地价动态监测的同时，</w:t>
      </w:r>
      <w:r>
        <w:rPr>
          <w:rFonts w:eastAsiaTheme="minorEastAsia" w:hint="eastAsia"/>
          <w:sz w:val="28"/>
          <w:szCs w:val="28"/>
        </w:rPr>
        <w:t>为充分发挥价格杠杆在土地资源配置和节约集约利用中的引导作用，建立健全土地市场服务和监管体系，促进城乡统一建设用地市场建设，根据部、省相关文件要求和工作部署</w:t>
      </w:r>
      <w:r>
        <w:rPr>
          <w:rFonts w:eastAsiaTheme="minorEastAsia" w:hint="eastAsia"/>
          <w:sz w:val="28"/>
          <w:szCs w:val="28"/>
        </w:rPr>
        <w:t>，全省各设区市、县（市、区）全面开展城镇建设用地基准地价、集体建设用地基准地价、农用地基准地价及城镇标定地价的制定和公示工作，实现城乡基准地价全覆盖、城镇标定地价全覆盖。</w:t>
      </w:r>
    </w:p>
    <w:p w:rsidR="00BA2EDB" w:rsidRDefault="00C86BD0">
      <w:pPr>
        <w:spacing w:line="300" w:lineRule="auto"/>
        <w:ind w:firstLineChars="200" w:firstLine="600"/>
        <w:outlineLvl w:val="1"/>
        <w:rPr>
          <w:rFonts w:eastAsia="黑体"/>
          <w:bCs/>
          <w:sz w:val="30"/>
          <w:szCs w:val="30"/>
        </w:rPr>
      </w:pPr>
      <w:bookmarkStart w:id="1" w:name="_Toc63176773"/>
      <w:bookmarkStart w:id="2" w:name="_Toc417895402"/>
      <w:r>
        <w:rPr>
          <w:rFonts w:eastAsia="黑体"/>
          <w:bCs/>
          <w:sz w:val="30"/>
          <w:szCs w:val="30"/>
        </w:rPr>
        <w:t>（一）监测范围</w:t>
      </w:r>
      <w:bookmarkEnd w:id="1"/>
      <w:bookmarkEnd w:id="2"/>
      <w:r>
        <w:rPr>
          <w:rFonts w:eastAsia="黑体" w:hint="eastAsia"/>
          <w:bCs/>
          <w:sz w:val="30"/>
          <w:szCs w:val="30"/>
        </w:rPr>
        <w:t>与监测对象</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城市地价动态监测范围包括全省各</w:t>
      </w:r>
      <w:bookmarkStart w:id="3" w:name="_GoBack"/>
      <w:bookmarkEnd w:id="3"/>
      <w:r>
        <w:rPr>
          <w:rFonts w:eastAsiaTheme="minorEastAsia" w:hint="eastAsia"/>
          <w:sz w:val="28"/>
          <w:szCs w:val="28"/>
        </w:rPr>
        <w:t>设区市、</w:t>
      </w:r>
      <w:r>
        <w:rPr>
          <w:rFonts w:eastAsiaTheme="minorEastAsia"/>
          <w:sz w:val="28"/>
          <w:szCs w:val="28"/>
        </w:rPr>
        <w:t>县（</w:t>
      </w:r>
      <w:r>
        <w:rPr>
          <w:rFonts w:eastAsiaTheme="minorEastAsia" w:hint="eastAsia"/>
          <w:sz w:val="28"/>
          <w:szCs w:val="28"/>
        </w:rPr>
        <w:t>市、区</w:t>
      </w:r>
      <w:r>
        <w:rPr>
          <w:rFonts w:eastAsiaTheme="minorEastAsia"/>
          <w:sz w:val="28"/>
          <w:szCs w:val="28"/>
        </w:rPr>
        <w:t>）</w:t>
      </w:r>
      <w:r>
        <w:rPr>
          <w:rFonts w:eastAsiaTheme="minorEastAsia" w:hint="eastAsia"/>
          <w:sz w:val="28"/>
          <w:szCs w:val="28"/>
        </w:rPr>
        <w:t>城镇建成区和近期建设规划区。</w:t>
      </w:r>
      <w:r>
        <w:rPr>
          <w:rFonts w:eastAsiaTheme="minorEastAsia" w:hint="eastAsia"/>
          <w:sz w:val="28"/>
          <w:szCs w:val="28"/>
        </w:rPr>
        <w:t>2022</w:t>
      </w:r>
      <w:r>
        <w:rPr>
          <w:rFonts w:eastAsiaTheme="minorEastAsia" w:hint="eastAsia"/>
          <w:sz w:val="28"/>
          <w:szCs w:val="28"/>
        </w:rPr>
        <w:t>年度全省城市地价动态监测</w:t>
      </w:r>
      <w:r>
        <w:rPr>
          <w:rFonts w:eastAsiaTheme="minorEastAsia" w:hint="eastAsia"/>
          <w:sz w:val="28"/>
          <w:szCs w:val="28"/>
        </w:rPr>
        <w:t>对象</w:t>
      </w:r>
      <w:r>
        <w:rPr>
          <w:rFonts w:eastAsiaTheme="minorEastAsia" w:hint="eastAsia"/>
          <w:sz w:val="28"/>
          <w:szCs w:val="28"/>
        </w:rPr>
        <w:t>主要包括南京城区、浦口区、六合区、江宁区、溧水区、高淳区；无锡城区、江阴市、宜兴市；徐州城区、贾汪区、铜山区、丰县、沛县、睢</w:t>
      </w:r>
      <w:r>
        <w:rPr>
          <w:rFonts w:eastAsiaTheme="minorEastAsia" w:hint="eastAsia"/>
          <w:sz w:val="28"/>
          <w:szCs w:val="28"/>
        </w:rPr>
        <w:lastRenderedPageBreak/>
        <w:t>宁县、新沂市、邳州市；常州城区、溧阳市、金坛区；苏州城区、吴江区、常熟市、张家港市、昆山市、太仓市；南通城区、通州区、海安市、如东县、启东市、如皋市、海门区；连云港城区、赣榆区、东海县、灌云县、灌南县；淮安城区、涟水县、洪泽区、盱眙县、金湖县；盐城城区、响水县、滨海县、阜宁县、射阳县、建湖县、东台市、大丰区；扬州城区、江都区、宝应县、仪征市、高邮市；镇江城区、丹阳市、扬中市、句容市；泰</w:t>
      </w:r>
      <w:r>
        <w:rPr>
          <w:rFonts w:eastAsiaTheme="minorEastAsia" w:hint="eastAsia"/>
          <w:sz w:val="28"/>
          <w:szCs w:val="28"/>
        </w:rPr>
        <w:t>州城区、姜堰区、兴化市、靖江市、泰兴市；宿迁城区、沭阳县、泗阳县、泗洪县</w:t>
      </w:r>
      <w:r>
        <w:rPr>
          <w:rFonts w:eastAsiaTheme="minorEastAsia" w:hint="eastAsia"/>
          <w:sz w:val="28"/>
          <w:szCs w:val="28"/>
        </w:rPr>
        <w:t>69</w:t>
      </w:r>
      <w:r>
        <w:rPr>
          <w:rFonts w:eastAsiaTheme="minorEastAsia" w:hint="eastAsia"/>
          <w:sz w:val="28"/>
          <w:szCs w:val="28"/>
        </w:rPr>
        <w:t>个监测单元。。</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根据《江苏省城镇地价动态监测技术规范（</w:t>
      </w:r>
      <w:r>
        <w:rPr>
          <w:rFonts w:eastAsiaTheme="minorEastAsia" w:hint="eastAsia"/>
          <w:sz w:val="28"/>
          <w:szCs w:val="28"/>
        </w:rPr>
        <w:t>2019</w:t>
      </w:r>
      <w:r>
        <w:rPr>
          <w:rFonts w:eastAsiaTheme="minorEastAsia" w:hint="eastAsia"/>
          <w:sz w:val="28"/>
          <w:szCs w:val="28"/>
        </w:rPr>
        <w:t>年）》，以</w:t>
      </w:r>
      <w:r>
        <w:rPr>
          <w:rFonts w:eastAsiaTheme="minorEastAsia" w:hint="eastAsia"/>
          <w:sz w:val="28"/>
          <w:szCs w:val="28"/>
        </w:rPr>
        <w:t>2021</w:t>
      </w:r>
      <w:r>
        <w:rPr>
          <w:rFonts w:eastAsiaTheme="minorEastAsia" w:hint="eastAsia"/>
          <w:sz w:val="28"/>
          <w:szCs w:val="28"/>
        </w:rPr>
        <w:t>年度布设的地价监测点为基础，参照国家级动态监测数据汇总思路，根据监测范围、地价区段、地价监测点相对稳定的要求，对原有的地价区段、地价监测点进行维护和更新。截至</w:t>
      </w:r>
      <w:r>
        <w:rPr>
          <w:rFonts w:eastAsiaTheme="minorEastAsia" w:hint="eastAsia"/>
          <w:sz w:val="28"/>
          <w:szCs w:val="28"/>
        </w:rPr>
        <w:t>2022</w:t>
      </w:r>
      <w:r>
        <w:rPr>
          <w:rFonts w:eastAsiaTheme="minorEastAsia" w:hint="eastAsia"/>
          <w:sz w:val="28"/>
          <w:szCs w:val="28"/>
        </w:rPr>
        <w:t>年</w:t>
      </w:r>
      <w:r>
        <w:rPr>
          <w:rFonts w:eastAsiaTheme="minorEastAsia" w:hint="eastAsia"/>
          <w:sz w:val="28"/>
          <w:szCs w:val="28"/>
        </w:rPr>
        <w:t>12</w:t>
      </w:r>
      <w:r>
        <w:rPr>
          <w:rFonts w:eastAsiaTheme="minorEastAsia" w:hint="eastAsia"/>
          <w:sz w:val="28"/>
          <w:szCs w:val="28"/>
        </w:rPr>
        <w:t>月</w:t>
      </w:r>
      <w:r>
        <w:rPr>
          <w:rFonts w:eastAsiaTheme="minorEastAsia" w:hint="eastAsia"/>
          <w:sz w:val="28"/>
          <w:szCs w:val="28"/>
        </w:rPr>
        <w:t>31</w:t>
      </w:r>
      <w:r>
        <w:rPr>
          <w:rFonts w:eastAsiaTheme="minorEastAsia" w:hint="eastAsia"/>
          <w:sz w:val="28"/>
          <w:szCs w:val="28"/>
        </w:rPr>
        <w:t>日，</w:t>
      </w:r>
      <w:r>
        <w:rPr>
          <w:rFonts w:eastAsiaTheme="minorEastAsia" w:hint="eastAsia"/>
          <w:sz w:val="28"/>
          <w:szCs w:val="28"/>
        </w:rPr>
        <w:t>全省</w:t>
      </w:r>
      <w:r>
        <w:rPr>
          <w:rFonts w:eastAsiaTheme="minorEastAsia" w:hint="eastAsia"/>
          <w:sz w:val="28"/>
          <w:szCs w:val="28"/>
        </w:rPr>
        <w:t>69</w:t>
      </w:r>
      <w:r>
        <w:rPr>
          <w:rFonts w:eastAsiaTheme="minorEastAsia" w:hint="eastAsia"/>
          <w:sz w:val="28"/>
          <w:szCs w:val="28"/>
        </w:rPr>
        <w:t>个监测单元共设有地价区段共</w:t>
      </w:r>
      <w:r>
        <w:rPr>
          <w:rFonts w:eastAsiaTheme="minorEastAsia" w:hint="eastAsia"/>
          <w:sz w:val="28"/>
          <w:szCs w:val="28"/>
        </w:rPr>
        <w:t>5</w:t>
      </w:r>
      <w:r>
        <w:rPr>
          <w:rFonts w:eastAsiaTheme="minorEastAsia" w:hint="eastAsia"/>
          <w:sz w:val="28"/>
          <w:szCs w:val="28"/>
        </w:rPr>
        <w:t>205</w:t>
      </w:r>
      <w:r>
        <w:rPr>
          <w:rFonts w:eastAsiaTheme="minorEastAsia" w:hint="eastAsia"/>
          <w:sz w:val="28"/>
          <w:szCs w:val="28"/>
        </w:rPr>
        <w:t>个，其中商服用地地价区段</w:t>
      </w:r>
      <w:r>
        <w:rPr>
          <w:rFonts w:eastAsiaTheme="minorEastAsia" w:hint="eastAsia"/>
          <w:sz w:val="28"/>
          <w:szCs w:val="28"/>
        </w:rPr>
        <w:t>29</w:t>
      </w:r>
      <w:r>
        <w:rPr>
          <w:rFonts w:eastAsiaTheme="minorEastAsia" w:hint="eastAsia"/>
          <w:sz w:val="28"/>
          <w:szCs w:val="28"/>
        </w:rPr>
        <w:t>48</w:t>
      </w:r>
      <w:r>
        <w:rPr>
          <w:rFonts w:eastAsiaTheme="minorEastAsia" w:hint="eastAsia"/>
          <w:sz w:val="28"/>
          <w:szCs w:val="28"/>
        </w:rPr>
        <w:t>个，住宅用地地价区段</w:t>
      </w:r>
      <w:r>
        <w:rPr>
          <w:rFonts w:eastAsiaTheme="minorEastAsia" w:hint="eastAsia"/>
          <w:sz w:val="28"/>
          <w:szCs w:val="28"/>
        </w:rPr>
        <w:t>16</w:t>
      </w:r>
      <w:r>
        <w:rPr>
          <w:rFonts w:eastAsiaTheme="minorEastAsia" w:hint="eastAsia"/>
          <w:sz w:val="28"/>
          <w:szCs w:val="28"/>
        </w:rPr>
        <w:t>84</w:t>
      </w:r>
      <w:r>
        <w:rPr>
          <w:rFonts w:eastAsiaTheme="minorEastAsia" w:hint="eastAsia"/>
          <w:sz w:val="28"/>
          <w:szCs w:val="28"/>
        </w:rPr>
        <w:t>个，工业用地地价区段</w:t>
      </w:r>
      <w:r>
        <w:rPr>
          <w:rFonts w:eastAsiaTheme="minorEastAsia" w:hint="eastAsia"/>
          <w:sz w:val="28"/>
          <w:szCs w:val="28"/>
        </w:rPr>
        <w:t>5</w:t>
      </w:r>
      <w:r>
        <w:rPr>
          <w:rFonts w:eastAsiaTheme="minorEastAsia" w:hint="eastAsia"/>
          <w:sz w:val="28"/>
          <w:szCs w:val="28"/>
        </w:rPr>
        <w:t>73</w:t>
      </w:r>
      <w:r>
        <w:rPr>
          <w:rFonts w:eastAsiaTheme="minorEastAsia" w:hint="eastAsia"/>
          <w:sz w:val="28"/>
          <w:szCs w:val="28"/>
        </w:rPr>
        <w:t>个</w:t>
      </w:r>
      <w:r>
        <w:rPr>
          <w:rFonts w:eastAsiaTheme="minorEastAsia" w:hint="eastAsia"/>
          <w:sz w:val="28"/>
          <w:szCs w:val="28"/>
        </w:rPr>
        <w:t>；</w:t>
      </w:r>
      <w:r>
        <w:rPr>
          <w:rFonts w:eastAsiaTheme="minorEastAsia" w:hint="eastAsia"/>
          <w:sz w:val="28"/>
          <w:szCs w:val="28"/>
        </w:rPr>
        <w:t>地价动态监测点</w:t>
      </w:r>
      <w:r>
        <w:rPr>
          <w:rFonts w:eastAsiaTheme="minorEastAsia" w:hint="eastAsia"/>
          <w:sz w:val="28"/>
          <w:szCs w:val="28"/>
        </w:rPr>
        <w:t>110</w:t>
      </w:r>
      <w:r>
        <w:rPr>
          <w:rFonts w:eastAsiaTheme="minorEastAsia" w:hint="eastAsia"/>
          <w:sz w:val="28"/>
          <w:szCs w:val="28"/>
        </w:rPr>
        <w:t>98</w:t>
      </w:r>
      <w:r>
        <w:rPr>
          <w:rFonts w:eastAsiaTheme="minorEastAsia" w:hint="eastAsia"/>
          <w:sz w:val="28"/>
          <w:szCs w:val="28"/>
        </w:rPr>
        <w:t>个，其中商服用地监</w:t>
      </w:r>
      <w:r>
        <w:rPr>
          <w:rFonts w:eastAsiaTheme="minorEastAsia" w:hint="eastAsia"/>
          <w:sz w:val="28"/>
          <w:szCs w:val="28"/>
        </w:rPr>
        <w:t>测点</w:t>
      </w:r>
      <w:r>
        <w:rPr>
          <w:rFonts w:eastAsiaTheme="minorEastAsia" w:hint="eastAsia"/>
          <w:sz w:val="28"/>
          <w:szCs w:val="28"/>
        </w:rPr>
        <w:t>61</w:t>
      </w:r>
      <w:r>
        <w:rPr>
          <w:rFonts w:eastAsiaTheme="minorEastAsia" w:hint="eastAsia"/>
          <w:sz w:val="28"/>
          <w:szCs w:val="28"/>
        </w:rPr>
        <w:t>90</w:t>
      </w:r>
      <w:r>
        <w:rPr>
          <w:rFonts w:eastAsiaTheme="minorEastAsia" w:hint="eastAsia"/>
          <w:sz w:val="28"/>
          <w:szCs w:val="28"/>
        </w:rPr>
        <w:t>个，住宅用地监测点</w:t>
      </w:r>
      <w:r>
        <w:rPr>
          <w:rFonts w:eastAsiaTheme="minorEastAsia" w:hint="eastAsia"/>
          <w:sz w:val="28"/>
          <w:szCs w:val="28"/>
        </w:rPr>
        <w:t>36</w:t>
      </w:r>
      <w:r>
        <w:rPr>
          <w:rFonts w:eastAsiaTheme="minorEastAsia" w:hint="eastAsia"/>
          <w:sz w:val="28"/>
          <w:szCs w:val="28"/>
        </w:rPr>
        <w:t>55</w:t>
      </w:r>
      <w:r>
        <w:rPr>
          <w:rFonts w:eastAsiaTheme="minorEastAsia" w:hint="eastAsia"/>
          <w:sz w:val="28"/>
          <w:szCs w:val="28"/>
        </w:rPr>
        <w:t>个，工业用地监测点</w:t>
      </w:r>
      <w:r>
        <w:rPr>
          <w:rFonts w:eastAsiaTheme="minorEastAsia" w:hint="eastAsia"/>
          <w:sz w:val="28"/>
          <w:szCs w:val="28"/>
        </w:rPr>
        <w:t>12</w:t>
      </w:r>
      <w:r>
        <w:rPr>
          <w:rFonts w:eastAsiaTheme="minorEastAsia" w:hint="eastAsia"/>
          <w:sz w:val="28"/>
          <w:szCs w:val="28"/>
        </w:rPr>
        <w:t>53</w:t>
      </w:r>
      <w:r>
        <w:rPr>
          <w:rFonts w:eastAsiaTheme="minorEastAsia" w:hint="eastAsia"/>
          <w:sz w:val="28"/>
          <w:szCs w:val="28"/>
        </w:rPr>
        <w:t>个</w:t>
      </w:r>
      <w:r>
        <w:rPr>
          <w:rFonts w:eastAsiaTheme="minorEastAsia"/>
          <w:sz w:val="28"/>
          <w:szCs w:val="28"/>
        </w:rPr>
        <w:t>。</w:t>
      </w:r>
    </w:p>
    <w:p w:rsidR="00BA2EDB" w:rsidRDefault="00C86BD0">
      <w:pPr>
        <w:spacing w:line="300" w:lineRule="auto"/>
        <w:ind w:firstLineChars="200" w:firstLine="560"/>
        <w:outlineLvl w:val="1"/>
        <w:rPr>
          <w:rFonts w:eastAsia="黑体"/>
          <w:bCs/>
          <w:sz w:val="28"/>
          <w:szCs w:val="32"/>
        </w:rPr>
      </w:pPr>
      <w:bookmarkStart w:id="4" w:name="_Toc35243675"/>
      <w:bookmarkStart w:id="5" w:name="_Toc417895403"/>
      <w:bookmarkStart w:id="6" w:name="_Toc383779685"/>
      <w:r>
        <w:rPr>
          <w:rFonts w:eastAsia="黑体"/>
          <w:bCs/>
          <w:sz w:val="28"/>
          <w:szCs w:val="32"/>
        </w:rPr>
        <w:t>（二）监测时段</w:t>
      </w:r>
      <w:bookmarkEnd w:id="4"/>
      <w:bookmarkEnd w:id="5"/>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2022</w:t>
      </w:r>
      <w:r>
        <w:rPr>
          <w:rFonts w:eastAsiaTheme="minorEastAsia" w:hint="eastAsia"/>
          <w:sz w:val="28"/>
          <w:szCs w:val="28"/>
        </w:rPr>
        <w:t>年度城市地价监测时段为</w:t>
      </w:r>
      <w:r>
        <w:rPr>
          <w:rFonts w:eastAsiaTheme="minorEastAsia" w:hint="eastAsia"/>
          <w:sz w:val="28"/>
          <w:szCs w:val="28"/>
        </w:rPr>
        <w:t>2022</w:t>
      </w:r>
      <w:r>
        <w:rPr>
          <w:rFonts w:eastAsiaTheme="minorEastAsia" w:hint="eastAsia"/>
          <w:sz w:val="28"/>
          <w:szCs w:val="28"/>
        </w:rPr>
        <w:t>年</w:t>
      </w:r>
      <w:r>
        <w:rPr>
          <w:rFonts w:eastAsiaTheme="minorEastAsia" w:hint="eastAsia"/>
          <w:sz w:val="28"/>
          <w:szCs w:val="28"/>
        </w:rPr>
        <w:t>1</w:t>
      </w:r>
      <w:r>
        <w:rPr>
          <w:rFonts w:eastAsiaTheme="minorEastAsia" w:hint="eastAsia"/>
          <w:sz w:val="28"/>
          <w:szCs w:val="28"/>
        </w:rPr>
        <w:t>月</w:t>
      </w:r>
      <w:r>
        <w:rPr>
          <w:rFonts w:eastAsiaTheme="minorEastAsia" w:hint="eastAsia"/>
          <w:sz w:val="28"/>
          <w:szCs w:val="28"/>
        </w:rPr>
        <w:t>1</w:t>
      </w:r>
      <w:r>
        <w:rPr>
          <w:rFonts w:eastAsiaTheme="minorEastAsia" w:hint="eastAsia"/>
          <w:sz w:val="28"/>
          <w:szCs w:val="28"/>
        </w:rPr>
        <w:t>日至</w:t>
      </w:r>
      <w:r>
        <w:rPr>
          <w:rFonts w:eastAsiaTheme="minorEastAsia" w:hint="eastAsia"/>
          <w:sz w:val="28"/>
          <w:szCs w:val="28"/>
        </w:rPr>
        <w:t>2022</w:t>
      </w:r>
      <w:r>
        <w:rPr>
          <w:rFonts w:eastAsiaTheme="minorEastAsia" w:hint="eastAsia"/>
          <w:sz w:val="28"/>
          <w:szCs w:val="28"/>
        </w:rPr>
        <w:t>年</w:t>
      </w:r>
      <w:r>
        <w:rPr>
          <w:rFonts w:eastAsiaTheme="minorEastAsia" w:hint="eastAsia"/>
          <w:sz w:val="28"/>
          <w:szCs w:val="28"/>
        </w:rPr>
        <w:t>12</w:t>
      </w:r>
      <w:r>
        <w:rPr>
          <w:rFonts w:eastAsiaTheme="minorEastAsia" w:hint="eastAsia"/>
          <w:sz w:val="28"/>
          <w:szCs w:val="28"/>
        </w:rPr>
        <w:t>月</w:t>
      </w:r>
      <w:r>
        <w:rPr>
          <w:rFonts w:eastAsiaTheme="minorEastAsia" w:hint="eastAsia"/>
          <w:sz w:val="28"/>
          <w:szCs w:val="28"/>
        </w:rPr>
        <w:t>31</w:t>
      </w:r>
      <w:r>
        <w:rPr>
          <w:rFonts w:eastAsiaTheme="minorEastAsia" w:hint="eastAsia"/>
          <w:sz w:val="28"/>
          <w:szCs w:val="28"/>
        </w:rPr>
        <w:t>日。</w:t>
      </w:r>
    </w:p>
    <w:p w:rsidR="00BA2EDB" w:rsidRDefault="00C86BD0">
      <w:pPr>
        <w:spacing w:line="300" w:lineRule="auto"/>
        <w:ind w:firstLineChars="200" w:firstLine="560"/>
        <w:outlineLvl w:val="1"/>
        <w:rPr>
          <w:rFonts w:eastAsia="黑体"/>
          <w:bCs/>
          <w:sz w:val="28"/>
          <w:szCs w:val="32"/>
        </w:rPr>
      </w:pPr>
      <w:r>
        <w:rPr>
          <w:rFonts w:eastAsia="黑体"/>
          <w:bCs/>
          <w:sz w:val="28"/>
          <w:szCs w:val="32"/>
        </w:rPr>
        <w:t>（</w:t>
      </w:r>
      <w:r>
        <w:rPr>
          <w:rFonts w:eastAsia="黑体" w:hint="eastAsia"/>
          <w:bCs/>
          <w:sz w:val="28"/>
          <w:szCs w:val="32"/>
        </w:rPr>
        <w:t>三</w:t>
      </w:r>
      <w:r>
        <w:rPr>
          <w:rFonts w:eastAsia="黑体"/>
          <w:bCs/>
          <w:sz w:val="28"/>
          <w:szCs w:val="32"/>
        </w:rPr>
        <w:t>）</w:t>
      </w:r>
      <w:r>
        <w:rPr>
          <w:rFonts w:eastAsia="黑体" w:hint="eastAsia"/>
          <w:bCs/>
          <w:sz w:val="28"/>
          <w:szCs w:val="32"/>
        </w:rPr>
        <w:t>技术路线</w:t>
      </w:r>
    </w:p>
    <w:p w:rsidR="00BA2EDB" w:rsidRDefault="00C86BD0">
      <w:pPr>
        <w:spacing w:line="300" w:lineRule="auto"/>
        <w:ind w:firstLineChars="200" w:firstLine="560"/>
        <w:outlineLvl w:val="1"/>
        <w:rPr>
          <w:rFonts w:ascii="黑体" w:eastAsia="黑体" w:hAnsi="黑体"/>
          <w:sz w:val="28"/>
          <w:szCs w:val="28"/>
        </w:rPr>
      </w:pPr>
      <w:r>
        <w:rPr>
          <w:rFonts w:ascii="黑体" w:eastAsia="黑体" w:hAnsi="黑体" w:hint="eastAsia"/>
          <w:sz w:val="28"/>
          <w:szCs w:val="28"/>
        </w:rPr>
        <w:t>1.</w:t>
      </w:r>
      <w:r>
        <w:rPr>
          <w:rFonts w:ascii="黑体" w:eastAsia="黑体" w:hAnsi="黑体"/>
          <w:sz w:val="28"/>
          <w:szCs w:val="28"/>
        </w:rPr>
        <w:t>地价内涵的设定</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城市地价动态监测体系中的监测点地价是指在设定的估价期日、</w:t>
      </w:r>
      <w:r>
        <w:rPr>
          <w:rFonts w:eastAsiaTheme="minorEastAsia" w:hint="eastAsia"/>
          <w:sz w:val="28"/>
          <w:szCs w:val="28"/>
        </w:rPr>
        <w:lastRenderedPageBreak/>
        <w:t>用途、土地使用权年限、土地开发程度和容积率等条件下，通过评估或市场交易地价修正得到的监测点在一定时点和一定条件下的地价。</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w:t>
      </w:r>
      <w:r>
        <w:rPr>
          <w:rFonts w:eastAsiaTheme="minorEastAsia" w:hint="eastAsia"/>
          <w:sz w:val="28"/>
          <w:szCs w:val="28"/>
        </w:rPr>
        <w:t>1</w:t>
      </w:r>
      <w:r>
        <w:rPr>
          <w:rFonts w:eastAsiaTheme="minorEastAsia" w:hint="eastAsia"/>
          <w:sz w:val="28"/>
          <w:szCs w:val="28"/>
        </w:rPr>
        <w:t>）估价期日：</w:t>
      </w:r>
      <w:r>
        <w:rPr>
          <w:rFonts w:eastAsiaTheme="minorEastAsia" w:hint="eastAsia"/>
          <w:sz w:val="28"/>
          <w:szCs w:val="28"/>
        </w:rPr>
        <w:t>2022</w:t>
      </w:r>
      <w:r>
        <w:rPr>
          <w:rFonts w:eastAsiaTheme="minorEastAsia" w:hint="eastAsia"/>
          <w:sz w:val="28"/>
          <w:szCs w:val="28"/>
        </w:rPr>
        <w:t>年度地价动态监测体系中的估价期</w:t>
      </w:r>
      <w:proofErr w:type="gramStart"/>
      <w:r>
        <w:rPr>
          <w:rFonts w:eastAsiaTheme="minorEastAsia" w:hint="eastAsia"/>
          <w:sz w:val="28"/>
          <w:szCs w:val="28"/>
        </w:rPr>
        <w:t>日统一</w:t>
      </w:r>
      <w:proofErr w:type="gramEnd"/>
      <w:r>
        <w:rPr>
          <w:rFonts w:eastAsiaTheme="minorEastAsia" w:hint="eastAsia"/>
          <w:sz w:val="28"/>
          <w:szCs w:val="28"/>
        </w:rPr>
        <w:t>设定为</w:t>
      </w:r>
      <w:r>
        <w:rPr>
          <w:rFonts w:eastAsiaTheme="minorEastAsia" w:hint="eastAsia"/>
          <w:sz w:val="28"/>
          <w:szCs w:val="28"/>
        </w:rPr>
        <w:t>2022</w:t>
      </w:r>
      <w:r>
        <w:rPr>
          <w:rFonts w:eastAsiaTheme="minorEastAsia" w:hint="eastAsia"/>
          <w:sz w:val="28"/>
          <w:szCs w:val="28"/>
        </w:rPr>
        <w:t>年</w:t>
      </w:r>
      <w:r>
        <w:rPr>
          <w:rFonts w:eastAsiaTheme="minorEastAsia" w:hint="eastAsia"/>
          <w:sz w:val="28"/>
          <w:szCs w:val="28"/>
        </w:rPr>
        <w:t>12</w:t>
      </w:r>
      <w:r>
        <w:rPr>
          <w:rFonts w:eastAsiaTheme="minorEastAsia" w:hint="eastAsia"/>
          <w:sz w:val="28"/>
          <w:szCs w:val="28"/>
        </w:rPr>
        <w:t>月</w:t>
      </w:r>
      <w:r>
        <w:rPr>
          <w:rFonts w:eastAsiaTheme="minorEastAsia" w:hint="eastAsia"/>
          <w:sz w:val="28"/>
          <w:szCs w:val="28"/>
        </w:rPr>
        <w:t>31</w:t>
      </w:r>
      <w:r>
        <w:rPr>
          <w:rFonts w:eastAsiaTheme="minorEastAsia" w:hint="eastAsia"/>
          <w:sz w:val="28"/>
          <w:szCs w:val="28"/>
        </w:rPr>
        <w:t>日。</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w:t>
      </w:r>
      <w:r>
        <w:rPr>
          <w:rFonts w:eastAsiaTheme="minorEastAsia"/>
          <w:sz w:val="28"/>
          <w:szCs w:val="28"/>
        </w:rPr>
        <w:t>2</w:t>
      </w:r>
      <w:r>
        <w:rPr>
          <w:rFonts w:eastAsiaTheme="minorEastAsia" w:hint="eastAsia"/>
          <w:sz w:val="28"/>
          <w:szCs w:val="28"/>
        </w:rPr>
        <w:t>）用途：</w:t>
      </w:r>
      <w:proofErr w:type="gramStart"/>
      <w:r>
        <w:rPr>
          <w:rFonts w:eastAsiaTheme="minorEastAsia" w:hint="eastAsia"/>
          <w:sz w:val="28"/>
          <w:szCs w:val="28"/>
        </w:rPr>
        <w:t>按商服</w:t>
      </w:r>
      <w:proofErr w:type="gramEnd"/>
      <w:r>
        <w:rPr>
          <w:rFonts w:eastAsiaTheme="minorEastAsia" w:hint="eastAsia"/>
          <w:sz w:val="28"/>
          <w:szCs w:val="28"/>
        </w:rPr>
        <w:t>、住宅、工业三种用途设定。</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w:t>
      </w:r>
      <w:r>
        <w:rPr>
          <w:rFonts w:eastAsiaTheme="minorEastAsia"/>
          <w:sz w:val="28"/>
          <w:szCs w:val="28"/>
        </w:rPr>
        <w:t>3</w:t>
      </w:r>
      <w:r>
        <w:rPr>
          <w:rFonts w:eastAsiaTheme="minorEastAsia" w:hint="eastAsia"/>
          <w:sz w:val="28"/>
          <w:szCs w:val="28"/>
        </w:rPr>
        <w:t>）土地使用权年限：按各类用地法定最高出让年期设定，即商服用途</w:t>
      </w:r>
      <w:r>
        <w:rPr>
          <w:rFonts w:eastAsiaTheme="minorEastAsia" w:hint="eastAsia"/>
          <w:sz w:val="28"/>
          <w:szCs w:val="28"/>
        </w:rPr>
        <w:t>40</w:t>
      </w:r>
      <w:r>
        <w:rPr>
          <w:rFonts w:eastAsiaTheme="minorEastAsia" w:hint="eastAsia"/>
          <w:sz w:val="28"/>
          <w:szCs w:val="28"/>
        </w:rPr>
        <w:t>年、住宅用途</w:t>
      </w:r>
      <w:r>
        <w:rPr>
          <w:rFonts w:eastAsiaTheme="minorEastAsia" w:hint="eastAsia"/>
          <w:sz w:val="28"/>
          <w:szCs w:val="28"/>
        </w:rPr>
        <w:t>70</w:t>
      </w:r>
      <w:r>
        <w:rPr>
          <w:rFonts w:eastAsiaTheme="minorEastAsia" w:hint="eastAsia"/>
          <w:sz w:val="28"/>
          <w:szCs w:val="28"/>
        </w:rPr>
        <w:t>年、工业用途</w:t>
      </w:r>
      <w:r>
        <w:rPr>
          <w:rFonts w:eastAsiaTheme="minorEastAsia" w:hint="eastAsia"/>
          <w:sz w:val="28"/>
          <w:szCs w:val="28"/>
        </w:rPr>
        <w:t>50</w:t>
      </w:r>
      <w:r>
        <w:rPr>
          <w:rFonts w:eastAsiaTheme="minorEastAsia" w:hint="eastAsia"/>
          <w:sz w:val="28"/>
          <w:szCs w:val="28"/>
        </w:rPr>
        <w:t>年。</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w:t>
      </w:r>
      <w:r>
        <w:rPr>
          <w:rFonts w:eastAsiaTheme="minorEastAsia"/>
          <w:sz w:val="28"/>
          <w:szCs w:val="28"/>
        </w:rPr>
        <w:t>4</w:t>
      </w:r>
      <w:r>
        <w:rPr>
          <w:rFonts w:eastAsiaTheme="minorEastAsia" w:hint="eastAsia"/>
          <w:sz w:val="28"/>
          <w:szCs w:val="28"/>
        </w:rPr>
        <w:t>）土地开发程度：按各监测单元区域平均土地开发程度分别设定。</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w:t>
      </w:r>
      <w:r>
        <w:rPr>
          <w:rFonts w:eastAsiaTheme="minorEastAsia"/>
          <w:sz w:val="28"/>
          <w:szCs w:val="28"/>
        </w:rPr>
        <w:t>5</w:t>
      </w:r>
      <w:r>
        <w:rPr>
          <w:rFonts w:eastAsiaTheme="minorEastAsia" w:hint="eastAsia"/>
          <w:sz w:val="28"/>
          <w:szCs w:val="28"/>
        </w:rPr>
        <w:t>）容积率：按各监测单元内区段的设定容积率来测算</w:t>
      </w:r>
      <w:r>
        <w:rPr>
          <w:rFonts w:eastAsiaTheme="minorEastAsia"/>
          <w:sz w:val="28"/>
          <w:szCs w:val="28"/>
        </w:rPr>
        <w:t>。</w:t>
      </w:r>
    </w:p>
    <w:p w:rsidR="00BA2EDB" w:rsidRDefault="00C86BD0">
      <w:pPr>
        <w:spacing w:line="300" w:lineRule="auto"/>
        <w:ind w:firstLineChars="200" w:firstLine="560"/>
        <w:outlineLvl w:val="1"/>
        <w:rPr>
          <w:rFonts w:ascii="黑体" w:eastAsia="黑体" w:hAnsi="黑体"/>
          <w:sz w:val="28"/>
          <w:szCs w:val="28"/>
        </w:rPr>
      </w:pPr>
      <w:r>
        <w:rPr>
          <w:rFonts w:ascii="黑体" w:eastAsia="黑体" w:hAnsi="黑体" w:hint="eastAsia"/>
          <w:sz w:val="28"/>
          <w:szCs w:val="28"/>
        </w:rPr>
        <w:t>2</w:t>
      </w:r>
      <w:r>
        <w:rPr>
          <w:rFonts w:ascii="黑体" w:eastAsia="黑体" w:hAnsi="黑体" w:hint="eastAsia"/>
          <w:sz w:val="28"/>
          <w:szCs w:val="28"/>
        </w:rPr>
        <w:t>、</w:t>
      </w:r>
      <w:bookmarkStart w:id="7" w:name="_Toc383779686"/>
      <w:bookmarkStart w:id="8" w:name="_Toc417895406"/>
      <w:bookmarkStart w:id="9" w:name="_Toc35243677"/>
      <w:bookmarkStart w:id="10" w:name="_Toc417895405"/>
      <w:bookmarkEnd w:id="6"/>
      <w:r>
        <w:rPr>
          <w:rFonts w:ascii="黑体" w:eastAsia="黑体" w:hAnsi="黑体"/>
          <w:sz w:val="28"/>
          <w:szCs w:val="28"/>
        </w:rPr>
        <w:t>监测数据</w:t>
      </w:r>
      <w:bookmarkEnd w:id="7"/>
      <w:bookmarkEnd w:id="8"/>
      <w:r>
        <w:rPr>
          <w:rFonts w:ascii="黑体" w:eastAsia="黑体" w:hAnsi="黑体"/>
          <w:sz w:val="28"/>
          <w:szCs w:val="28"/>
        </w:rPr>
        <w:t>采集</w:t>
      </w:r>
      <w:bookmarkEnd w:id="9"/>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2022</w:t>
      </w:r>
      <w:r>
        <w:rPr>
          <w:rFonts w:eastAsiaTheme="minorEastAsia" w:hint="eastAsia"/>
          <w:sz w:val="28"/>
          <w:szCs w:val="28"/>
        </w:rPr>
        <w:t>年度城市地价监测的数据主要通过市场调查、监测的方式获得。其中地价监测点的数据来源于各监测单元的地价动态监测年度数据库成果，土地市场的供应数据来源于江苏省建设用地全程跟踪管理系统，与地价相关的其他数据主要来源于有关统计资料和市场调查。以各监测单元的地价动态监测数</w:t>
      </w:r>
      <w:r>
        <w:rPr>
          <w:rFonts w:eastAsiaTheme="minorEastAsia" w:hint="eastAsia"/>
          <w:sz w:val="28"/>
          <w:szCs w:val="28"/>
        </w:rPr>
        <w:t>据库成果为基础，建立</w:t>
      </w:r>
      <w:r>
        <w:rPr>
          <w:rFonts w:eastAsiaTheme="minorEastAsia" w:hint="eastAsia"/>
          <w:sz w:val="28"/>
          <w:szCs w:val="28"/>
        </w:rPr>
        <w:t>2022</w:t>
      </w:r>
      <w:r>
        <w:rPr>
          <w:rFonts w:eastAsiaTheme="minorEastAsia" w:hint="eastAsia"/>
          <w:sz w:val="28"/>
          <w:szCs w:val="28"/>
        </w:rPr>
        <w:t>年度全省城市地价动态监测数据库成果。</w:t>
      </w:r>
    </w:p>
    <w:p w:rsidR="00BA2EDB" w:rsidRDefault="00C86BD0">
      <w:pPr>
        <w:spacing w:line="300" w:lineRule="auto"/>
        <w:ind w:firstLineChars="200" w:firstLine="560"/>
        <w:outlineLvl w:val="1"/>
        <w:rPr>
          <w:rFonts w:ascii="黑体" w:eastAsia="黑体" w:hAnsi="黑体"/>
          <w:bCs/>
          <w:sz w:val="30"/>
          <w:szCs w:val="30"/>
        </w:rPr>
      </w:pPr>
      <w:r>
        <w:rPr>
          <w:rFonts w:ascii="黑体" w:eastAsia="黑体" w:hAnsi="黑体" w:hint="eastAsia"/>
          <w:sz w:val="28"/>
          <w:szCs w:val="28"/>
        </w:rPr>
        <w:t>3.</w:t>
      </w:r>
      <w:r>
        <w:rPr>
          <w:rFonts w:ascii="黑体" w:eastAsia="黑体" w:hAnsi="黑体"/>
          <w:bCs/>
          <w:sz w:val="30"/>
          <w:szCs w:val="30"/>
        </w:rPr>
        <w:t>地价水平、地价</w:t>
      </w:r>
      <w:r>
        <w:rPr>
          <w:rFonts w:ascii="黑体" w:eastAsia="黑体" w:hAnsi="黑体" w:hint="eastAsia"/>
          <w:bCs/>
          <w:sz w:val="30"/>
          <w:szCs w:val="30"/>
        </w:rPr>
        <w:t>增长率</w:t>
      </w:r>
      <w:r>
        <w:rPr>
          <w:rFonts w:ascii="黑体" w:eastAsia="黑体" w:hAnsi="黑体"/>
          <w:bCs/>
          <w:sz w:val="30"/>
          <w:szCs w:val="30"/>
        </w:rPr>
        <w:t>的测算方法</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根据《城镇土地估价规程》（</w:t>
      </w:r>
      <w:r>
        <w:rPr>
          <w:rFonts w:eastAsiaTheme="minorEastAsia" w:hint="eastAsia"/>
          <w:sz w:val="28"/>
          <w:szCs w:val="28"/>
        </w:rPr>
        <w:t>GB/T 18508-2014</w:t>
      </w:r>
      <w:r>
        <w:rPr>
          <w:rFonts w:eastAsiaTheme="minorEastAsia" w:hint="eastAsia"/>
          <w:sz w:val="28"/>
          <w:szCs w:val="28"/>
        </w:rPr>
        <w:t>）、《城市地价动态监测技术规范》（</w:t>
      </w:r>
      <w:r>
        <w:rPr>
          <w:rFonts w:eastAsiaTheme="minorEastAsia" w:hint="eastAsia"/>
          <w:sz w:val="28"/>
          <w:szCs w:val="28"/>
        </w:rPr>
        <w:t>TD/T 1009-2007</w:t>
      </w:r>
      <w:r>
        <w:rPr>
          <w:rFonts w:eastAsiaTheme="minorEastAsia" w:hint="eastAsia"/>
          <w:sz w:val="28"/>
          <w:szCs w:val="28"/>
        </w:rPr>
        <w:t>）和《江苏省城镇地价动态监测技术规范（</w:t>
      </w:r>
      <w:r>
        <w:rPr>
          <w:rFonts w:eastAsiaTheme="minorEastAsia" w:hint="eastAsia"/>
          <w:sz w:val="28"/>
          <w:szCs w:val="28"/>
        </w:rPr>
        <w:t>2019</w:t>
      </w:r>
      <w:r>
        <w:rPr>
          <w:rFonts w:eastAsiaTheme="minorEastAsia" w:hint="eastAsia"/>
          <w:sz w:val="28"/>
          <w:szCs w:val="28"/>
        </w:rPr>
        <w:t>年）》相关要求，通过布设地价监测点，对地价动态监测点进行地价评估，测算区段地价，在此基础上，采用面积加权的</w:t>
      </w:r>
      <w:r>
        <w:rPr>
          <w:rFonts w:eastAsiaTheme="minorEastAsia" w:hint="eastAsia"/>
          <w:sz w:val="28"/>
          <w:szCs w:val="28"/>
        </w:rPr>
        <w:lastRenderedPageBreak/>
        <w:t>方法汇总形成各监测单元、各区域、全省总体分用途的地价水平及地价增长率</w:t>
      </w:r>
      <w:r>
        <w:rPr>
          <w:rFonts w:eastAsiaTheme="minorEastAsia"/>
          <w:sz w:val="28"/>
          <w:szCs w:val="28"/>
        </w:rPr>
        <w:t>。</w:t>
      </w:r>
    </w:p>
    <w:p w:rsidR="00BA2EDB" w:rsidRDefault="00C86BD0">
      <w:pPr>
        <w:spacing w:line="300" w:lineRule="auto"/>
        <w:ind w:firstLineChars="200" w:firstLine="640"/>
        <w:outlineLvl w:val="0"/>
        <w:rPr>
          <w:rFonts w:ascii="黑体" w:eastAsia="黑体" w:hAnsi="黑体"/>
          <w:bCs/>
          <w:sz w:val="32"/>
        </w:rPr>
      </w:pPr>
      <w:bookmarkStart w:id="11" w:name="_Toc35243681"/>
      <w:bookmarkEnd w:id="10"/>
      <w:r>
        <w:rPr>
          <w:rFonts w:ascii="黑体" w:eastAsia="黑体" w:hAnsi="黑体"/>
          <w:bCs/>
          <w:sz w:val="32"/>
        </w:rPr>
        <w:t>二、</w:t>
      </w:r>
      <w:r>
        <w:rPr>
          <w:rFonts w:ascii="黑体" w:eastAsia="黑体" w:hAnsi="黑体" w:hint="eastAsia"/>
          <w:bCs/>
          <w:sz w:val="32"/>
        </w:rPr>
        <w:t>2022</w:t>
      </w:r>
      <w:r>
        <w:rPr>
          <w:rFonts w:ascii="黑体" w:eastAsia="黑体" w:hAnsi="黑体"/>
          <w:bCs/>
          <w:sz w:val="32"/>
        </w:rPr>
        <w:t>年度全省城市地价状况</w:t>
      </w:r>
      <w:bookmarkEnd w:id="11"/>
    </w:p>
    <w:p w:rsidR="00BA2EDB" w:rsidRDefault="00C86BD0">
      <w:pPr>
        <w:spacing w:line="300" w:lineRule="auto"/>
        <w:ind w:firstLineChars="200" w:firstLine="560"/>
        <w:outlineLvl w:val="1"/>
        <w:rPr>
          <w:rFonts w:eastAsia="黑体"/>
          <w:b/>
          <w:bCs/>
          <w:sz w:val="28"/>
          <w:szCs w:val="32"/>
        </w:rPr>
      </w:pPr>
      <w:bookmarkStart w:id="12" w:name="_Toc417895410"/>
      <w:bookmarkStart w:id="13" w:name="_Toc8976307"/>
      <w:r>
        <w:rPr>
          <w:rFonts w:eastAsia="黑体"/>
          <w:bCs/>
          <w:sz w:val="28"/>
          <w:szCs w:val="28"/>
        </w:rPr>
        <w:t>（一）</w:t>
      </w:r>
      <w:bookmarkEnd w:id="12"/>
      <w:r>
        <w:rPr>
          <w:rFonts w:eastAsia="黑体" w:hint="eastAsia"/>
          <w:bCs/>
          <w:sz w:val="28"/>
          <w:szCs w:val="28"/>
        </w:rPr>
        <w:t>全省总体地价状况</w:t>
      </w:r>
      <w:bookmarkEnd w:id="13"/>
    </w:p>
    <w:p w:rsidR="00BA2EDB" w:rsidRDefault="00C86BD0">
      <w:pPr>
        <w:spacing w:line="300" w:lineRule="auto"/>
        <w:ind w:firstLineChars="200" w:firstLine="562"/>
        <w:rPr>
          <w:rFonts w:eastAsiaTheme="minorEastAsia"/>
          <w:b/>
          <w:sz w:val="28"/>
          <w:szCs w:val="28"/>
        </w:rPr>
      </w:pPr>
      <w:bookmarkStart w:id="14" w:name="_Toc445795221"/>
      <w:bookmarkStart w:id="15" w:name="_Toc478116119"/>
      <w:bookmarkStart w:id="16" w:name="_Toc475970669"/>
      <w:bookmarkStart w:id="17" w:name="_Toc480557784"/>
      <w:bookmarkStart w:id="18" w:name="_Toc445823821"/>
      <w:bookmarkStart w:id="19" w:name="_Toc480905455"/>
      <w:bookmarkStart w:id="20" w:name="_Toc447123335"/>
      <w:bookmarkStart w:id="21" w:name="_Toc447727564"/>
      <w:bookmarkStart w:id="22" w:name="_Toc446580412"/>
      <w:bookmarkStart w:id="23" w:name="_Toc446408125"/>
      <w:bookmarkStart w:id="24" w:name="_Toc480905830"/>
      <w:r>
        <w:rPr>
          <w:rFonts w:eastAsiaTheme="minorEastAsia"/>
          <w:b/>
          <w:sz w:val="28"/>
          <w:szCs w:val="28"/>
        </w:rPr>
        <w:t>1.</w:t>
      </w:r>
      <w:r>
        <w:rPr>
          <w:rFonts w:eastAsiaTheme="minorEastAsia"/>
          <w:b/>
          <w:sz w:val="28"/>
          <w:szCs w:val="28"/>
        </w:rPr>
        <w:t>年度同比增长率</w:t>
      </w:r>
      <w:bookmarkEnd w:id="14"/>
      <w:bookmarkEnd w:id="15"/>
      <w:bookmarkEnd w:id="16"/>
      <w:bookmarkEnd w:id="17"/>
      <w:bookmarkEnd w:id="18"/>
      <w:bookmarkEnd w:id="19"/>
      <w:bookmarkEnd w:id="20"/>
      <w:bookmarkEnd w:id="21"/>
      <w:bookmarkEnd w:id="22"/>
      <w:bookmarkEnd w:id="23"/>
      <w:bookmarkEnd w:id="24"/>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2022</w:t>
      </w:r>
      <w:r>
        <w:rPr>
          <w:rFonts w:eastAsiaTheme="minorEastAsia" w:hint="eastAsia"/>
          <w:sz w:val="28"/>
          <w:szCs w:val="28"/>
        </w:rPr>
        <w:t>年度商</w:t>
      </w:r>
      <w:proofErr w:type="gramStart"/>
      <w:r>
        <w:rPr>
          <w:rFonts w:eastAsiaTheme="minorEastAsia" w:hint="eastAsia"/>
          <w:sz w:val="28"/>
          <w:szCs w:val="28"/>
        </w:rPr>
        <w:t>服平均</w:t>
      </w:r>
      <w:proofErr w:type="gramEnd"/>
      <w:r>
        <w:rPr>
          <w:rFonts w:eastAsiaTheme="minorEastAsia" w:hint="eastAsia"/>
          <w:sz w:val="28"/>
          <w:szCs w:val="28"/>
        </w:rPr>
        <w:t>地价同比增长率为</w:t>
      </w:r>
      <w:r>
        <w:rPr>
          <w:rFonts w:eastAsiaTheme="minorEastAsia" w:hint="eastAsia"/>
          <w:sz w:val="28"/>
          <w:szCs w:val="28"/>
        </w:rPr>
        <w:t>-1.71%</w:t>
      </w:r>
      <w:r>
        <w:rPr>
          <w:rFonts w:eastAsiaTheme="minorEastAsia" w:hint="eastAsia"/>
          <w:sz w:val="28"/>
          <w:szCs w:val="28"/>
        </w:rPr>
        <w:t>，增速回落</w:t>
      </w:r>
      <w:r>
        <w:rPr>
          <w:rFonts w:eastAsiaTheme="minorEastAsia" w:hint="eastAsia"/>
          <w:sz w:val="28"/>
          <w:szCs w:val="28"/>
        </w:rPr>
        <w:t>0.89</w:t>
      </w:r>
      <w:r>
        <w:rPr>
          <w:rFonts w:eastAsiaTheme="minorEastAsia" w:hint="eastAsia"/>
          <w:sz w:val="28"/>
          <w:szCs w:val="28"/>
        </w:rPr>
        <w:t>个百分点；住宅平均地价同比增长率为</w:t>
      </w:r>
      <w:r>
        <w:rPr>
          <w:rFonts w:eastAsiaTheme="minorEastAsia" w:hint="eastAsia"/>
          <w:sz w:val="28"/>
          <w:szCs w:val="28"/>
        </w:rPr>
        <w:t>-0.98%</w:t>
      </w:r>
      <w:r>
        <w:rPr>
          <w:rFonts w:eastAsiaTheme="minorEastAsia" w:hint="eastAsia"/>
          <w:sz w:val="28"/>
          <w:szCs w:val="28"/>
        </w:rPr>
        <w:t>，增速回落</w:t>
      </w:r>
      <w:r>
        <w:rPr>
          <w:rFonts w:eastAsiaTheme="minorEastAsia" w:hint="eastAsia"/>
          <w:sz w:val="28"/>
          <w:szCs w:val="28"/>
        </w:rPr>
        <w:t>3.41</w:t>
      </w:r>
      <w:r>
        <w:rPr>
          <w:rFonts w:eastAsiaTheme="minorEastAsia" w:hint="eastAsia"/>
          <w:sz w:val="28"/>
          <w:szCs w:val="28"/>
        </w:rPr>
        <w:t>个百分点；工业平均地价同比增长率为</w:t>
      </w:r>
      <w:r>
        <w:rPr>
          <w:rFonts w:eastAsiaTheme="minorEastAsia" w:hint="eastAsia"/>
          <w:sz w:val="28"/>
          <w:szCs w:val="28"/>
        </w:rPr>
        <w:t>0.49</w:t>
      </w:r>
      <w:r>
        <w:rPr>
          <w:rFonts w:eastAsiaTheme="minorEastAsia" w:hint="eastAsia"/>
          <w:sz w:val="28"/>
          <w:szCs w:val="28"/>
        </w:rPr>
        <w:t>%</w:t>
      </w:r>
      <w:r>
        <w:rPr>
          <w:rFonts w:eastAsiaTheme="minorEastAsia" w:hint="eastAsia"/>
          <w:sz w:val="28"/>
          <w:szCs w:val="28"/>
        </w:rPr>
        <w:t>，增速</w:t>
      </w:r>
      <w:r>
        <w:rPr>
          <w:rFonts w:eastAsiaTheme="minorEastAsia" w:hint="eastAsia"/>
          <w:sz w:val="28"/>
          <w:szCs w:val="28"/>
        </w:rPr>
        <w:t>回落</w:t>
      </w:r>
      <w:r>
        <w:rPr>
          <w:rFonts w:eastAsiaTheme="minorEastAsia" w:hint="eastAsia"/>
          <w:sz w:val="28"/>
          <w:szCs w:val="28"/>
        </w:rPr>
        <w:t>0.04</w:t>
      </w:r>
      <w:r>
        <w:rPr>
          <w:rFonts w:eastAsiaTheme="minorEastAsia" w:hint="eastAsia"/>
          <w:sz w:val="28"/>
          <w:szCs w:val="28"/>
        </w:rPr>
        <w:t>个百分点</w:t>
      </w:r>
      <w:r>
        <w:rPr>
          <w:rFonts w:eastAsiaTheme="minorEastAsia"/>
          <w:sz w:val="28"/>
          <w:szCs w:val="28"/>
        </w:rPr>
        <w:t>。</w:t>
      </w:r>
    </w:p>
    <w:p w:rsidR="00BA2EDB" w:rsidRDefault="00C86BD0">
      <w:pPr>
        <w:jc w:val="center"/>
        <w:rPr>
          <w:rFonts w:eastAsiaTheme="minorEastAsia"/>
          <w:sz w:val="28"/>
          <w:szCs w:val="28"/>
        </w:rPr>
      </w:pPr>
      <w:r>
        <w:rPr>
          <w:noProof/>
        </w:rPr>
        <w:drawing>
          <wp:inline distT="0" distB="0" distL="114300" distR="114300">
            <wp:extent cx="5045710" cy="2943225"/>
            <wp:effectExtent l="4445" t="4445" r="9525" b="889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A2EDB" w:rsidRDefault="00C86BD0">
      <w:pPr>
        <w:spacing w:afterLines="50" w:after="156"/>
        <w:jc w:val="center"/>
        <w:rPr>
          <w:rFonts w:eastAsia="黑体"/>
          <w:sz w:val="24"/>
        </w:rPr>
      </w:pPr>
      <w:r>
        <w:rPr>
          <w:rFonts w:eastAsia="黑体"/>
          <w:sz w:val="24"/>
        </w:rPr>
        <w:t>2008-</w:t>
      </w:r>
      <w:r>
        <w:rPr>
          <w:rFonts w:eastAsia="黑体" w:hint="eastAsia"/>
          <w:sz w:val="24"/>
        </w:rPr>
        <w:t>2022</w:t>
      </w:r>
      <w:r>
        <w:rPr>
          <w:rFonts w:eastAsia="黑体"/>
          <w:sz w:val="24"/>
        </w:rPr>
        <w:t>年度全省分用途平均地价同比增长率</w:t>
      </w:r>
      <w:r>
        <w:rPr>
          <w:rFonts w:eastAsia="黑体" w:hint="eastAsia"/>
          <w:sz w:val="24"/>
        </w:rPr>
        <w:t>变化</w:t>
      </w:r>
      <w:r>
        <w:rPr>
          <w:rFonts w:eastAsia="黑体"/>
          <w:sz w:val="24"/>
        </w:rPr>
        <w:t>趋势图</w:t>
      </w:r>
    </w:p>
    <w:p w:rsidR="00BA2EDB" w:rsidRDefault="00C86BD0">
      <w:pPr>
        <w:spacing w:line="300" w:lineRule="auto"/>
        <w:ind w:firstLineChars="200" w:firstLine="562"/>
        <w:rPr>
          <w:rFonts w:eastAsiaTheme="minorEastAsia"/>
          <w:b/>
          <w:sz w:val="28"/>
          <w:szCs w:val="28"/>
        </w:rPr>
      </w:pPr>
      <w:bookmarkStart w:id="25" w:name="_Toc447727565"/>
      <w:bookmarkStart w:id="26" w:name="_Toc446408126"/>
      <w:bookmarkStart w:id="27" w:name="_Toc446580413"/>
      <w:bookmarkStart w:id="28" w:name="_Toc475970670"/>
      <w:bookmarkStart w:id="29" w:name="_Toc480905456"/>
      <w:bookmarkStart w:id="30" w:name="_Toc445795222"/>
      <w:bookmarkStart w:id="31" w:name="_Toc478116120"/>
      <w:bookmarkStart w:id="32" w:name="_Toc480557785"/>
      <w:bookmarkStart w:id="33" w:name="_Toc445823822"/>
      <w:bookmarkStart w:id="34" w:name="_Toc447123336"/>
      <w:bookmarkStart w:id="35" w:name="_Toc480905831"/>
      <w:r>
        <w:rPr>
          <w:rFonts w:eastAsiaTheme="minorEastAsia"/>
          <w:b/>
          <w:sz w:val="28"/>
          <w:szCs w:val="28"/>
        </w:rPr>
        <w:t>2.</w:t>
      </w:r>
      <w:proofErr w:type="gramStart"/>
      <w:r>
        <w:rPr>
          <w:rFonts w:eastAsiaTheme="minorEastAsia"/>
          <w:b/>
          <w:sz w:val="28"/>
          <w:szCs w:val="28"/>
        </w:rPr>
        <w:t>季度环</w:t>
      </w:r>
      <w:proofErr w:type="gramEnd"/>
      <w:r>
        <w:rPr>
          <w:rFonts w:eastAsiaTheme="minorEastAsia"/>
          <w:b/>
          <w:sz w:val="28"/>
          <w:szCs w:val="28"/>
        </w:rPr>
        <w:t>比增长率</w:t>
      </w:r>
      <w:bookmarkEnd w:id="25"/>
      <w:bookmarkEnd w:id="26"/>
      <w:bookmarkEnd w:id="27"/>
      <w:bookmarkEnd w:id="28"/>
      <w:bookmarkEnd w:id="29"/>
      <w:bookmarkEnd w:id="30"/>
      <w:bookmarkEnd w:id="31"/>
      <w:bookmarkEnd w:id="32"/>
      <w:bookmarkEnd w:id="33"/>
      <w:bookmarkEnd w:id="34"/>
      <w:bookmarkEnd w:id="35"/>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2022</w:t>
      </w:r>
      <w:r>
        <w:rPr>
          <w:rFonts w:eastAsiaTheme="minorEastAsia" w:hint="eastAsia"/>
          <w:sz w:val="28"/>
          <w:szCs w:val="28"/>
        </w:rPr>
        <w:t>年度，商</w:t>
      </w:r>
      <w:proofErr w:type="gramStart"/>
      <w:r>
        <w:rPr>
          <w:rFonts w:eastAsiaTheme="minorEastAsia" w:hint="eastAsia"/>
          <w:sz w:val="28"/>
          <w:szCs w:val="28"/>
        </w:rPr>
        <w:t>服平均</w:t>
      </w:r>
      <w:proofErr w:type="gramEnd"/>
      <w:r>
        <w:rPr>
          <w:rFonts w:eastAsiaTheme="minorEastAsia" w:hint="eastAsia"/>
          <w:sz w:val="28"/>
          <w:szCs w:val="28"/>
        </w:rPr>
        <w:t>地价各季度的环比增长率分别为</w:t>
      </w:r>
      <w:r>
        <w:rPr>
          <w:rFonts w:eastAsiaTheme="minorEastAsia" w:hint="eastAsia"/>
          <w:sz w:val="28"/>
          <w:szCs w:val="28"/>
        </w:rPr>
        <w:t>-0.</w:t>
      </w:r>
      <w:r>
        <w:rPr>
          <w:rFonts w:eastAsiaTheme="minorEastAsia" w:hint="eastAsia"/>
          <w:sz w:val="28"/>
          <w:szCs w:val="28"/>
        </w:rPr>
        <w:t>20</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37</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44</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72</w:t>
      </w:r>
      <w:r>
        <w:rPr>
          <w:rFonts w:eastAsiaTheme="minorEastAsia" w:hint="eastAsia"/>
          <w:sz w:val="28"/>
          <w:szCs w:val="28"/>
        </w:rPr>
        <w:t>%</w:t>
      </w:r>
      <w:r>
        <w:rPr>
          <w:rFonts w:eastAsiaTheme="minorEastAsia" w:hint="eastAsia"/>
          <w:sz w:val="28"/>
          <w:szCs w:val="28"/>
        </w:rPr>
        <w:t>；</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住宅平均地价各季度的环比增长率分别为</w:t>
      </w:r>
      <w:r>
        <w:rPr>
          <w:rFonts w:eastAsiaTheme="minorEastAsia" w:hint="eastAsia"/>
          <w:sz w:val="28"/>
          <w:szCs w:val="28"/>
        </w:rPr>
        <w:t>0.</w:t>
      </w:r>
      <w:r>
        <w:rPr>
          <w:rFonts w:eastAsiaTheme="minorEastAsia" w:hint="eastAsia"/>
          <w:sz w:val="28"/>
          <w:szCs w:val="28"/>
        </w:rPr>
        <w:t>21</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10</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39</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70</w:t>
      </w:r>
      <w:r>
        <w:rPr>
          <w:rFonts w:eastAsiaTheme="minorEastAsia" w:hint="eastAsia"/>
          <w:sz w:val="28"/>
          <w:szCs w:val="28"/>
        </w:rPr>
        <w:t>%</w:t>
      </w:r>
      <w:r>
        <w:rPr>
          <w:rFonts w:eastAsiaTheme="minorEastAsia" w:hint="eastAsia"/>
          <w:sz w:val="28"/>
          <w:szCs w:val="28"/>
        </w:rPr>
        <w:t>，第二季度</w:t>
      </w:r>
      <w:r>
        <w:rPr>
          <w:rFonts w:eastAsiaTheme="minorEastAsia" w:hint="eastAsia"/>
          <w:sz w:val="28"/>
          <w:szCs w:val="28"/>
        </w:rPr>
        <w:t>开始出现负增长</w:t>
      </w:r>
      <w:r>
        <w:rPr>
          <w:rFonts w:eastAsiaTheme="minorEastAsia" w:hint="eastAsia"/>
          <w:sz w:val="28"/>
          <w:szCs w:val="28"/>
        </w:rPr>
        <w:t>；</w:t>
      </w:r>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工业平均地价各季度的环比增长率分别为</w:t>
      </w:r>
      <w:r>
        <w:rPr>
          <w:rFonts w:eastAsiaTheme="minorEastAsia" w:hint="eastAsia"/>
          <w:sz w:val="28"/>
          <w:szCs w:val="28"/>
        </w:rPr>
        <w:t>0.08</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hint="eastAsia"/>
          <w:sz w:val="28"/>
          <w:szCs w:val="28"/>
        </w:rPr>
        <w:t>08</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t>0.</w:t>
      </w:r>
      <w:r>
        <w:rPr>
          <w:rFonts w:eastAsiaTheme="minorEastAsia"/>
          <w:sz w:val="28"/>
          <w:szCs w:val="28"/>
        </w:rPr>
        <w:t>1</w:t>
      </w:r>
      <w:r>
        <w:rPr>
          <w:rFonts w:eastAsiaTheme="minorEastAsia" w:hint="eastAsia"/>
          <w:sz w:val="28"/>
          <w:szCs w:val="28"/>
        </w:rPr>
        <w:t>7</w:t>
      </w:r>
      <w:r>
        <w:rPr>
          <w:rFonts w:eastAsiaTheme="minorEastAsia" w:hint="eastAsia"/>
          <w:sz w:val="28"/>
          <w:szCs w:val="28"/>
        </w:rPr>
        <w:t>%</w:t>
      </w:r>
      <w:r>
        <w:rPr>
          <w:rFonts w:eastAsiaTheme="minorEastAsia" w:hint="eastAsia"/>
          <w:sz w:val="28"/>
          <w:szCs w:val="28"/>
        </w:rPr>
        <w:t>、</w:t>
      </w:r>
      <w:r>
        <w:rPr>
          <w:rFonts w:eastAsiaTheme="minorEastAsia" w:hint="eastAsia"/>
          <w:sz w:val="28"/>
          <w:szCs w:val="28"/>
        </w:rPr>
        <w:lastRenderedPageBreak/>
        <w:t>0.</w:t>
      </w:r>
      <w:r>
        <w:rPr>
          <w:rFonts w:eastAsiaTheme="minorEastAsia" w:hint="eastAsia"/>
          <w:sz w:val="28"/>
          <w:szCs w:val="28"/>
        </w:rPr>
        <w:t>16</w:t>
      </w:r>
      <w:r>
        <w:rPr>
          <w:rFonts w:eastAsiaTheme="minorEastAsia" w:hint="eastAsia"/>
          <w:sz w:val="28"/>
          <w:szCs w:val="28"/>
        </w:rPr>
        <w:t>%</w:t>
      </w:r>
      <w:r>
        <w:rPr>
          <w:rFonts w:eastAsiaTheme="minorEastAsia"/>
          <w:sz w:val="28"/>
          <w:szCs w:val="28"/>
        </w:rPr>
        <w:t>。</w:t>
      </w:r>
    </w:p>
    <w:p w:rsidR="00BA2EDB" w:rsidRDefault="00C86BD0">
      <w:pPr>
        <w:spacing w:line="300" w:lineRule="auto"/>
        <w:ind w:firstLineChars="200" w:firstLine="560"/>
        <w:outlineLvl w:val="1"/>
        <w:rPr>
          <w:rFonts w:eastAsia="黑体"/>
          <w:bCs/>
          <w:sz w:val="28"/>
          <w:szCs w:val="32"/>
        </w:rPr>
      </w:pPr>
      <w:bookmarkStart w:id="36" w:name="_Toc8976308"/>
      <w:r>
        <w:rPr>
          <w:rFonts w:eastAsia="黑体"/>
          <w:bCs/>
          <w:sz w:val="28"/>
          <w:szCs w:val="32"/>
        </w:rPr>
        <w:t>（</w:t>
      </w:r>
      <w:r>
        <w:rPr>
          <w:rFonts w:eastAsia="黑体" w:hint="eastAsia"/>
          <w:bCs/>
          <w:sz w:val="28"/>
          <w:szCs w:val="32"/>
        </w:rPr>
        <w:t>二</w:t>
      </w:r>
      <w:r>
        <w:rPr>
          <w:rFonts w:eastAsia="黑体"/>
          <w:bCs/>
          <w:sz w:val="28"/>
          <w:szCs w:val="32"/>
        </w:rPr>
        <w:t>）</w:t>
      </w:r>
      <w:r>
        <w:rPr>
          <w:rFonts w:eastAsia="黑体" w:hint="eastAsia"/>
          <w:bCs/>
          <w:sz w:val="28"/>
          <w:szCs w:val="32"/>
        </w:rPr>
        <w:t>三大监测区域地价状况</w:t>
      </w:r>
      <w:bookmarkEnd w:id="36"/>
    </w:p>
    <w:p w:rsidR="00BA2EDB" w:rsidRDefault="00C86BD0">
      <w:pPr>
        <w:spacing w:line="300" w:lineRule="auto"/>
        <w:ind w:firstLineChars="200" w:firstLine="560"/>
        <w:rPr>
          <w:rFonts w:eastAsiaTheme="minorEastAsia"/>
          <w:sz w:val="28"/>
          <w:szCs w:val="28"/>
        </w:rPr>
      </w:pPr>
      <w:r>
        <w:rPr>
          <w:rFonts w:eastAsiaTheme="minorEastAsia" w:hint="eastAsia"/>
          <w:sz w:val="28"/>
          <w:szCs w:val="28"/>
        </w:rPr>
        <w:t>2022</w:t>
      </w:r>
      <w:r>
        <w:rPr>
          <w:rFonts w:eastAsiaTheme="minorEastAsia"/>
          <w:sz w:val="28"/>
          <w:szCs w:val="28"/>
        </w:rPr>
        <w:t>年度，三大</w:t>
      </w:r>
      <w:r>
        <w:rPr>
          <w:rFonts w:eastAsiaTheme="minorEastAsia" w:hint="eastAsia"/>
          <w:sz w:val="28"/>
          <w:szCs w:val="28"/>
        </w:rPr>
        <w:t>监测</w:t>
      </w:r>
      <w:r>
        <w:rPr>
          <w:rFonts w:eastAsiaTheme="minorEastAsia"/>
          <w:sz w:val="28"/>
          <w:szCs w:val="28"/>
        </w:rPr>
        <w:t>区域分用途平均地价水平同比</w:t>
      </w:r>
      <w:r>
        <w:rPr>
          <w:rFonts w:eastAsiaTheme="minorEastAsia" w:hint="eastAsia"/>
          <w:sz w:val="28"/>
          <w:szCs w:val="28"/>
        </w:rPr>
        <w:t>变化各异</w:t>
      </w:r>
      <w:r>
        <w:rPr>
          <w:rFonts w:eastAsiaTheme="minorEastAsia"/>
          <w:sz w:val="28"/>
          <w:szCs w:val="28"/>
        </w:rPr>
        <w:t>，</w:t>
      </w:r>
      <w:r>
        <w:rPr>
          <w:rFonts w:hint="eastAsia"/>
          <w:sz w:val="28"/>
          <w:szCs w:val="28"/>
        </w:rPr>
        <w:t>其中苏南、苏中、苏北地区的商</w:t>
      </w:r>
      <w:proofErr w:type="gramStart"/>
      <w:r>
        <w:rPr>
          <w:rFonts w:hint="eastAsia"/>
          <w:sz w:val="28"/>
          <w:szCs w:val="28"/>
        </w:rPr>
        <w:t>服平均</w:t>
      </w:r>
      <w:proofErr w:type="gramEnd"/>
      <w:r>
        <w:rPr>
          <w:rFonts w:hint="eastAsia"/>
          <w:sz w:val="28"/>
          <w:szCs w:val="28"/>
        </w:rPr>
        <w:t>地价同比增长率分别为</w:t>
      </w:r>
      <w:r>
        <w:rPr>
          <w:rFonts w:hint="eastAsia"/>
          <w:sz w:val="28"/>
          <w:szCs w:val="28"/>
        </w:rPr>
        <w:t>-</w:t>
      </w:r>
      <w:r>
        <w:rPr>
          <w:rFonts w:hint="eastAsia"/>
          <w:sz w:val="28"/>
          <w:szCs w:val="28"/>
        </w:rPr>
        <w:t>1.76</w:t>
      </w:r>
      <w:r>
        <w:rPr>
          <w:rFonts w:hint="eastAsia"/>
          <w:sz w:val="28"/>
          <w:szCs w:val="28"/>
        </w:rPr>
        <w:t>%</w:t>
      </w:r>
      <w:r>
        <w:rPr>
          <w:rFonts w:hint="eastAsia"/>
          <w:sz w:val="28"/>
          <w:szCs w:val="28"/>
        </w:rPr>
        <w:t>、</w:t>
      </w:r>
      <w:r>
        <w:rPr>
          <w:rFonts w:hint="eastAsia"/>
          <w:sz w:val="28"/>
          <w:szCs w:val="28"/>
        </w:rPr>
        <w:t>-1.42</w:t>
      </w:r>
      <w:r>
        <w:rPr>
          <w:rFonts w:hint="eastAsia"/>
          <w:sz w:val="28"/>
          <w:szCs w:val="28"/>
        </w:rPr>
        <w:t>%</w:t>
      </w:r>
      <w:r>
        <w:rPr>
          <w:rFonts w:hint="eastAsia"/>
          <w:sz w:val="28"/>
          <w:szCs w:val="28"/>
        </w:rPr>
        <w:t>、</w:t>
      </w:r>
      <w:r>
        <w:rPr>
          <w:rFonts w:hint="eastAsia"/>
          <w:sz w:val="28"/>
          <w:szCs w:val="28"/>
        </w:rPr>
        <w:t>-</w:t>
      </w:r>
      <w:r>
        <w:rPr>
          <w:rFonts w:hint="eastAsia"/>
          <w:sz w:val="28"/>
          <w:szCs w:val="28"/>
        </w:rPr>
        <w:t>1.55</w:t>
      </w:r>
      <w:r>
        <w:rPr>
          <w:rFonts w:hint="eastAsia"/>
          <w:sz w:val="28"/>
          <w:szCs w:val="28"/>
        </w:rPr>
        <w:t>%</w:t>
      </w:r>
      <w:r>
        <w:rPr>
          <w:rFonts w:hint="eastAsia"/>
          <w:sz w:val="28"/>
          <w:szCs w:val="28"/>
        </w:rPr>
        <w:t>；住宅平均地价同比增长率分别为</w:t>
      </w:r>
      <w:r>
        <w:rPr>
          <w:rFonts w:hint="eastAsia"/>
          <w:sz w:val="28"/>
          <w:szCs w:val="28"/>
        </w:rPr>
        <w:t>-0.78</w:t>
      </w:r>
      <w:r>
        <w:rPr>
          <w:rFonts w:hint="eastAsia"/>
          <w:sz w:val="28"/>
          <w:szCs w:val="28"/>
        </w:rPr>
        <w:t>%</w:t>
      </w:r>
      <w:r>
        <w:rPr>
          <w:rFonts w:hint="eastAsia"/>
          <w:sz w:val="28"/>
          <w:szCs w:val="28"/>
        </w:rPr>
        <w:t>、</w:t>
      </w:r>
      <w:r>
        <w:rPr>
          <w:rFonts w:hint="eastAsia"/>
          <w:sz w:val="28"/>
          <w:szCs w:val="28"/>
        </w:rPr>
        <w:t>-1.61</w:t>
      </w:r>
      <w:r>
        <w:rPr>
          <w:rFonts w:hint="eastAsia"/>
          <w:sz w:val="28"/>
          <w:szCs w:val="28"/>
        </w:rPr>
        <w:t>%</w:t>
      </w:r>
      <w:r>
        <w:rPr>
          <w:rFonts w:hint="eastAsia"/>
          <w:sz w:val="28"/>
          <w:szCs w:val="28"/>
        </w:rPr>
        <w:t>、</w:t>
      </w:r>
      <w:r>
        <w:rPr>
          <w:rFonts w:hint="eastAsia"/>
          <w:sz w:val="28"/>
          <w:szCs w:val="28"/>
        </w:rPr>
        <w:t>-1.35</w:t>
      </w:r>
      <w:r>
        <w:rPr>
          <w:rFonts w:hint="eastAsia"/>
          <w:sz w:val="28"/>
          <w:szCs w:val="28"/>
        </w:rPr>
        <w:t>%</w:t>
      </w:r>
      <w:r>
        <w:rPr>
          <w:rFonts w:hint="eastAsia"/>
          <w:sz w:val="28"/>
          <w:szCs w:val="28"/>
        </w:rPr>
        <w:t>；工业平均地价同比增长率分别为</w:t>
      </w:r>
      <w:r>
        <w:rPr>
          <w:rFonts w:hint="eastAsia"/>
          <w:sz w:val="28"/>
          <w:szCs w:val="28"/>
        </w:rPr>
        <w:t>0.</w:t>
      </w:r>
      <w:r>
        <w:rPr>
          <w:rFonts w:hint="eastAsia"/>
          <w:sz w:val="28"/>
          <w:szCs w:val="28"/>
        </w:rPr>
        <w:t>6</w:t>
      </w:r>
      <w:r>
        <w:rPr>
          <w:sz w:val="28"/>
          <w:szCs w:val="28"/>
        </w:rPr>
        <w:t>6</w:t>
      </w:r>
      <w:r>
        <w:rPr>
          <w:rFonts w:hint="eastAsia"/>
          <w:sz w:val="28"/>
          <w:szCs w:val="28"/>
        </w:rPr>
        <w:t>%</w:t>
      </w:r>
      <w:r>
        <w:rPr>
          <w:rFonts w:hint="eastAsia"/>
          <w:sz w:val="28"/>
          <w:szCs w:val="28"/>
        </w:rPr>
        <w:t>、</w:t>
      </w:r>
      <w:r>
        <w:rPr>
          <w:rFonts w:hint="eastAsia"/>
          <w:sz w:val="28"/>
          <w:szCs w:val="28"/>
        </w:rPr>
        <w:t>0.</w:t>
      </w:r>
      <w:r>
        <w:rPr>
          <w:rFonts w:hint="eastAsia"/>
          <w:sz w:val="28"/>
          <w:szCs w:val="28"/>
        </w:rPr>
        <w:t>28</w:t>
      </w:r>
      <w:r>
        <w:rPr>
          <w:rFonts w:hint="eastAsia"/>
          <w:sz w:val="28"/>
          <w:szCs w:val="28"/>
        </w:rPr>
        <w:t>%</w:t>
      </w:r>
      <w:r>
        <w:rPr>
          <w:rFonts w:hint="eastAsia"/>
          <w:sz w:val="28"/>
          <w:szCs w:val="28"/>
        </w:rPr>
        <w:t>、</w:t>
      </w:r>
      <w:r>
        <w:rPr>
          <w:rFonts w:hint="eastAsia"/>
          <w:sz w:val="28"/>
          <w:szCs w:val="28"/>
        </w:rPr>
        <w:t>0.11</w:t>
      </w:r>
      <w:r>
        <w:rPr>
          <w:rFonts w:hint="eastAsia"/>
          <w:sz w:val="28"/>
          <w:szCs w:val="28"/>
        </w:rPr>
        <w:t>%</w:t>
      </w:r>
      <w:r>
        <w:rPr>
          <w:rFonts w:eastAsiaTheme="minorEastAsia"/>
          <w:sz w:val="28"/>
          <w:szCs w:val="28"/>
        </w:rPr>
        <w:t>。</w:t>
      </w:r>
    </w:p>
    <w:p w:rsidR="00BA2EDB" w:rsidRDefault="00C86BD0">
      <w:pPr>
        <w:spacing w:line="300" w:lineRule="auto"/>
        <w:ind w:firstLineChars="200" w:firstLine="560"/>
        <w:outlineLvl w:val="1"/>
        <w:rPr>
          <w:rFonts w:eastAsia="黑体"/>
          <w:bCs/>
          <w:sz w:val="28"/>
          <w:szCs w:val="32"/>
        </w:rPr>
      </w:pPr>
      <w:bookmarkStart w:id="37" w:name="_Toc511744763"/>
      <w:bookmarkStart w:id="38" w:name="_Toc481155540"/>
      <w:bookmarkStart w:id="39" w:name="_Toc8976309"/>
      <w:r>
        <w:rPr>
          <w:rFonts w:eastAsia="黑体"/>
          <w:bCs/>
          <w:sz w:val="28"/>
          <w:szCs w:val="32"/>
        </w:rPr>
        <w:t>（</w:t>
      </w:r>
      <w:r>
        <w:rPr>
          <w:rFonts w:eastAsia="黑体" w:hint="eastAsia"/>
          <w:bCs/>
          <w:sz w:val="28"/>
          <w:szCs w:val="32"/>
        </w:rPr>
        <w:t>三</w:t>
      </w:r>
      <w:r>
        <w:rPr>
          <w:rFonts w:eastAsia="黑体"/>
          <w:bCs/>
          <w:sz w:val="28"/>
          <w:szCs w:val="32"/>
        </w:rPr>
        <w:t>）</w:t>
      </w:r>
      <w:r>
        <w:rPr>
          <w:rFonts w:eastAsia="黑体" w:hint="eastAsia"/>
          <w:bCs/>
          <w:sz w:val="28"/>
          <w:szCs w:val="32"/>
        </w:rPr>
        <w:t>各设区市</w:t>
      </w:r>
      <w:proofErr w:type="gramStart"/>
      <w:r>
        <w:rPr>
          <w:rFonts w:eastAsia="黑体" w:hint="eastAsia"/>
          <w:bCs/>
          <w:sz w:val="28"/>
          <w:szCs w:val="32"/>
        </w:rPr>
        <w:t>市</w:t>
      </w:r>
      <w:proofErr w:type="gramEnd"/>
      <w:r>
        <w:rPr>
          <w:rFonts w:eastAsia="黑体" w:hint="eastAsia"/>
          <w:bCs/>
          <w:sz w:val="28"/>
          <w:szCs w:val="32"/>
        </w:rPr>
        <w:t>域地价状况</w:t>
      </w:r>
      <w:bookmarkEnd w:id="37"/>
      <w:bookmarkEnd w:id="38"/>
      <w:bookmarkEnd w:id="39"/>
    </w:p>
    <w:p w:rsidR="00BA2EDB" w:rsidRDefault="00C86BD0">
      <w:pPr>
        <w:spacing w:line="300" w:lineRule="auto"/>
        <w:ind w:firstLineChars="200" w:firstLine="560"/>
        <w:rPr>
          <w:rFonts w:eastAsiaTheme="minorEastAsia"/>
          <w:sz w:val="28"/>
          <w:szCs w:val="28"/>
        </w:rPr>
      </w:pPr>
      <w:r>
        <w:rPr>
          <w:rFonts w:hint="eastAsia"/>
          <w:sz w:val="28"/>
          <w:szCs w:val="28"/>
        </w:rPr>
        <w:t>商</w:t>
      </w:r>
      <w:proofErr w:type="gramStart"/>
      <w:r>
        <w:rPr>
          <w:rFonts w:hint="eastAsia"/>
          <w:sz w:val="28"/>
          <w:szCs w:val="28"/>
        </w:rPr>
        <w:t>服平均</w:t>
      </w:r>
      <w:proofErr w:type="gramEnd"/>
      <w:r>
        <w:rPr>
          <w:rFonts w:hint="eastAsia"/>
          <w:sz w:val="28"/>
          <w:szCs w:val="28"/>
        </w:rPr>
        <w:t>地价</w:t>
      </w:r>
      <w:r>
        <w:rPr>
          <w:rFonts w:hint="eastAsia"/>
          <w:sz w:val="28"/>
          <w:szCs w:val="28"/>
        </w:rPr>
        <w:t>均为负增长，</w:t>
      </w:r>
      <w:r>
        <w:rPr>
          <w:rFonts w:hint="eastAsia"/>
          <w:sz w:val="28"/>
          <w:szCs w:val="28"/>
        </w:rPr>
        <w:t>其中无锡市</w:t>
      </w:r>
      <w:r>
        <w:rPr>
          <w:rFonts w:hint="eastAsia"/>
          <w:sz w:val="28"/>
          <w:szCs w:val="28"/>
        </w:rPr>
        <w:t>最低</w:t>
      </w:r>
      <w:r>
        <w:rPr>
          <w:rFonts w:hint="eastAsia"/>
          <w:sz w:val="28"/>
          <w:szCs w:val="28"/>
        </w:rPr>
        <w:t>，为</w:t>
      </w:r>
      <w:r>
        <w:rPr>
          <w:rFonts w:hint="eastAsia"/>
          <w:sz w:val="28"/>
          <w:szCs w:val="28"/>
        </w:rPr>
        <w:t>-</w:t>
      </w:r>
      <w:r>
        <w:rPr>
          <w:rFonts w:hint="eastAsia"/>
          <w:sz w:val="28"/>
          <w:szCs w:val="28"/>
        </w:rPr>
        <w:t>2.86</w:t>
      </w:r>
      <w:r>
        <w:rPr>
          <w:rFonts w:hint="eastAsia"/>
          <w:sz w:val="28"/>
          <w:szCs w:val="28"/>
        </w:rPr>
        <w:t>%</w:t>
      </w:r>
      <w:r>
        <w:rPr>
          <w:rFonts w:hint="eastAsia"/>
          <w:sz w:val="28"/>
          <w:szCs w:val="28"/>
        </w:rPr>
        <w:t>。</w:t>
      </w:r>
    </w:p>
    <w:p w:rsidR="00BA2EDB" w:rsidRDefault="00C86BD0">
      <w:pPr>
        <w:spacing w:line="300" w:lineRule="auto"/>
        <w:ind w:firstLineChars="200" w:firstLine="560"/>
        <w:rPr>
          <w:sz w:val="28"/>
          <w:szCs w:val="28"/>
        </w:rPr>
      </w:pPr>
      <w:r>
        <w:rPr>
          <w:rFonts w:hint="eastAsia"/>
          <w:sz w:val="28"/>
          <w:szCs w:val="28"/>
        </w:rPr>
        <w:t>住宅平均地价</w:t>
      </w:r>
      <w:r>
        <w:rPr>
          <w:rFonts w:hint="eastAsia"/>
          <w:sz w:val="28"/>
          <w:szCs w:val="28"/>
        </w:rPr>
        <w:t>均为负增长</w:t>
      </w:r>
      <w:r>
        <w:rPr>
          <w:rFonts w:hint="eastAsia"/>
          <w:sz w:val="28"/>
          <w:szCs w:val="28"/>
        </w:rPr>
        <w:t>，其中</w:t>
      </w:r>
      <w:r>
        <w:rPr>
          <w:rFonts w:hint="eastAsia"/>
          <w:sz w:val="28"/>
          <w:szCs w:val="28"/>
        </w:rPr>
        <w:t>无锡市</w:t>
      </w:r>
      <w:r>
        <w:rPr>
          <w:rFonts w:hint="eastAsia"/>
          <w:sz w:val="28"/>
          <w:szCs w:val="28"/>
        </w:rPr>
        <w:t>最低，为</w:t>
      </w:r>
      <w:r>
        <w:rPr>
          <w:rFonts w:hint="eastAsia"/>
          <w:sz w:val="28"/>
          <w:szCs w:val="28"/>
        </w:rPr>
        <w:t>-2.59</w:t>
      </w:r>
      <w:r>
        <w:rPr>
          <w:rFonts w:hint="eastAsia"/>
          <w:sz w:val="28"/>
          <w:szCs w:val="28"/>
        </w:rPr>
        <w:t>%</w:t>
      </w:r>
      <w:r>
        <w:rPr>
          <w:rFonts w:hint="eastAsia"/>
          <w:sz w:val="28"/>
          <w:szCs w:val="28"/>
        </w:rPr>
        <w:t>。</w:t>
      </w:r>
    </w:p>
    <w:p w:rsidR="00BA2EDB" w:rsidRDefault="00C86BD0">
      <w:pPr>
        <w:spacing w:line="300" w:lineRule="auto"/>
        <w:ind w:firstLineChars="200" w:firstLine="560"/>
        <w:rPr>
          <w:rFonts w:eastAsiaTheme="minorEastAsia"/>
          <w:sz w:val="28"/>
          <w:szCs w:val="28"/>
        </w:rPr>
      </w:pPr>
      <w:r>
        <w:rPr>
          <w:rFonts w:hint="eastAsia"/>
          <w:sz w:val="28"/>
          <w:szCs w:val="28"/>
        </w:rPr>
        <w:t>工业平均地价</w:t>
      </w:r>
      <w:r>
        <w:rPr>
          <w:rFonts w:hint="eastAsia"/>
          <w:sz w:val="28"/>
          <w:szCs w:val="28"/>
        </w:rPr>
        <w:t>除连云港市外</w:t>
      </w:r>
      <w:r>
        <w:rPr>
          <w:rFonts w:hint="eastAsia"/>
          <w:sz w:val="28"/>
          <w:szCs w:val="28"/>
        </w:rPr>
        <w:t>均同比增长，其中</w:t>
      </w:r>
      <w:r>
        <w:rPr>
          <w:rFonts w:hint="eastAsia"/>
          <w:sz w:val="28"/>
          <w:szCs w:val="28"/>
        </w:rPr>
        <w:t>常州</w:t>
      </w:r>
      <w:r>
        <w:rPr>
          <w:rFonts w:hint="eastAsia"/>
          <w:sz w:val="28"/>
          <w:szCs w:val="28"/>
        </w:rPr>
        <w:t>市工业平均地价同比增长率最高，为</w:t>
      </w:r>
      <w:r>
        <w:rPr>
          <w:rFonts w:hint="eastAsia"/>
          <w:sz w:val="28"/>
          <w:szCs w:val="28"/>
        </w:rPr>
        <w:t>2.78</w:t>
      </w:r>
      <w:r>
        <w:rPr>
          <w:rFonts w:hint="eastAsia"/>
          <w:sz w:val="28"/>
          <w:szCs w:val="28"/>
        </w:rPr>
        <w:t>%</w:t>
      </w:r>
      <w:r>
        <w:rPr>
          <w:rFonts w:hint="eastAsia"/>
          <w:sz w:val="28"/>
          <w:szCs w:val="28"/>
        </w:rPr>
        <w:t>，</w:t>
      </w:r>
      <w:r>
        <w:rPr>
          <w:rFonts w:hint="eastAsia"/>
          <w:sz w:val="28"/>
          <w:szCs w:val="28"/>
        </w:rPr>
        <w:t>连云港</w:t>
      </w:r>
      <w:r>
        <w:rPr>
          <w:rFonts w:hint="eastAsia"/>
          <w:sz w:val="28"/>
          <w:szCs w:val="28"/>
        </w:rPr>
        <w:t>市</w:t>
      </w:r>
      <w:r>
        <w:rPr>
          <w:rFonts w:hint="eastAsia"/>
          <w:sz w:val="28"/>
          <w:szCs w:val="28"/>
        </w:rPr>
        <w:t>最低</w:t>
      </w:r>
      <w:r>
        <w:rPr>
          <w:rFonts w:hint="eastAsia"/>
          <w:sz w:val="28"/>
          <w:szCs w:val="28"/>
        </w:rPr>
        <w:t>，为</w:t>
      </w:r>
      <w:r>
        <w:rPr>
          <w:rFonts w:hint="eastAsia"/>
          <w:sz w:val="28"/>
          <w:szCs w:val="28"/>
        </w:rPr>
        <w:t>-</w:t>
      </w:r>
      <w:r>
        <w:rPr>
          <w:rFonts w:hint="eastAsia"/>
          <w:sz w:val="28"/>
          <w:szCs w:val="28"/>
        </w:rPr>
        <w:t>0.</w:t>
      </w:r>
      <w:r>
        <w:rPr>
          <w:rFonts w:hint="eastAsia"/>
          <w:sz w:val="28"/>
          <w:szCs w:val="28"/>
        </w:rPr>
        <w:t>20</w:t>
      </w:r>
      <w:r>
        <w:rPr>
          <w:rFonts w:hint="eastAsia"/>
          <w:sz w:val="28"/>
          <w:szCs w:val="28"/>
        </w:rPr>
        <w:t>%</w:t>
      </w:r>
      <w:r>
        <w:rPr>
          <w:rFonts w:eastAsiaTheme="minorEastAsia"/>
          <w:sz w:val="28"/>
          <w:szCs w:val="28"/>
        </w:rPr>
        <w:t>。</w:t>
      </w:r>
    </w:p>
    <w:p w:rsidR="00BA2EDB" w:rsidRDefault="00C86BD0">
      <w:pPr>
        <w:spacing w:line="300" w:lineRule="auto"/>
        <w:ind w:firstLineChars="200" w:firstLine="560"/>
        <w:outlineLvl w:val="1"/>
        <w:rPr>
          <w:rFonts w:eastAsia="黑体"/>
          <w:bCs/>
          <w:sz w:val="28"/>
          <w:szCs w:val="32"/>
        </w:rPr>
      </w:pPr>
      <w:bookmarkStart w:id="40" w:name="_Toc481155541"/>
      <w:bookmarkStart w:id="41" w:name="_Toc8976310"/>
      <w:bookmarkStart w:id="42" w:name="_Toc511744764"/>
      <w:r>
        <w:rPr>
          <w:rFonts w:eastAsia="黑体"/>
          <w:bCs/>
          <w:sz w:val="28"/>
          <w:szCs w:val="32"/>
        </w:rPr>
        <w:t>（</w:t>
      </w:r>
      <w:r>
        <w:rPr>
          <w:rFonts w:eastAsia="黑体" w:hint="eastAsia"/>
          <w:bCs/>
          <w:sz w:val="28"/>
          <w:szCs w:val="32"/>
        </w:rPr>
        <w:t>四</w:t>
      </w:r>
      <w:r>
        <w:rPr>
          <w:rFonts w:eastAsia="黑体"/>
          <w:bCs/>
          <w:sz w:val="28"/>
          <w:szCs w:val="32"/>
        </w:rPr>
        <w:t>）</w:t>
      </w:r>
      <w:r>
        <w:rPr>
          <w:rFonts w:eastAsia="黑体" w:hint="eastAsia"/>
          <w:bCs/>
          <w:sz w:val="28"/>
          <w:szCs w:val="32"/>
        </w:rPr>
        <w:t>各设区市城区地价状况</w:t>
      </w:r>
      <w:bookmarkEnd w:id="40"/>
      <w:bookmarkEnd w:id="41"/>
      <w:bookmarkEnd w:id="42"/>
    </w:p>
    <w:p w:rsidR="00BA2EDB" w:rsidRDefault="00C86BD0">
      <w:pPr>
        <w:spacing w:line="300" w:lineRule="auto"/>
        <w:ind w:firstLineChars="200" w:firstLine="560"/>
        <w:rPr>
          <w:sz w:val="28"/>
          <w:szCs w:val="28"/>
        </w:rPr>
      </w:pPr>
      <w:r>
        <w:rPr>
          <w:rFonts w:hint="eastAsia"/>
          <w:sz w:val="28"/>
          <w:szCs w:val="28"/>
        </w:rPr>
        <w:t>商</w:t>
      </w:r>
      <w:proofErr w:type="gramStart"/>
      <w:r>
        <w:rPr>
          <w:rFonts w:hint="eastAsia"/>
          <w:sz w:val="28"/>
          <w:szCs w:val="28"/>
        </w:rPr>
        <w:t>服平均</w:t>
      </w:r>
      <w:proofErr w:type="gramEnd"/>
      <w:r>
        <w:rPr>
          <w:rFonts w:hint="eastAsia"/>
          <w:sz w:val="28"/>
          <w:szCs w:val="28"/>
        </w:rPr>
        <w:t>地价均为负增长，其中无锡城区最低，为</w:t>
      </w:r>
      <w:r>
        <w:rPr>
          <w:rFonts w:hint="eastAsia"/>
          <w:sz w:val="28"/>
          <w:szCs w:val="28"/>
        </w:rPr>
        <w:t>-2.96%</w:t>
      </w:r>
      <w:r>
        <w:rPr>
          <w:rFonts w:hint="eastAsia"/>
          <w:sz w:val="28"/>
          <w:szCs w:val="28"/>
        </w:rPr>
        <w:t>。</w:t>
      </w:r>
    </w:p>
    <w:p w:rsidR="00BA2EDB" w:rsidRDefault="00C86BD0">
      <w:pPr>
        <w:spacing w:line="300" w:lineRule="auto"/>
        <w:ind w:firstLineChars="200" w:firstLine="560"/>
        <w:rPr>
          <w:sz w:val="28"/>
          <w:szCs w:val="28"/>
        </w:rPr>
      </w:pPr>
      <w:r>
        <w:rPr>
          <w:rFonts w:hint="eastAsia"/>
          <w:sz w:val="28"/>
          <w:szCs w:val="28"/>
        </w:rPr>
        <w:t>住宅平均地价均为负增长，其中宿迁城区最低，为</w:t>
      </w:r>
      <w:r>
        <w:rPr>
          <w:rFonts w:hint="eastAsia"/>
          <w:sz w:val="28"/>
          <w:szCs w:val="28"/>
        </w:rPr>
        <w:t>-2.82%</w:t>
      </w:r>
      <w:r>
        <w:rPr>
          <w:rFonts w:hint="eastAsia"/>
          <w:sz w:val="28"/>
          <w:szCs w:val="28"/>
        </w:rPr>
        <w:t>。</w:t>
      </w:r>
    </w:p>
    <w:p w:rsidR="00BA2EDB" w:rsidRDefault="00C86BD0">
      <w:pPr>
        <w:spacing w:line="300" w:lineRule="auto"/>
        <w:ind w:firstLineChars="200" w:firstLine="560"/>
        <w:rPr>
          <w:rFonts w:eastAsiaTheme="minorEastAsia"/>
          <w:sz w:val="28"/>
          <w:szCs w:val="28"/>
        </w:rPr>
      </w:pPr>
      <w:r>
        <w:rPr>
          <w:rFonts w:hint="eastAsia"/>
          <w:sz w:val="28"/>
          <w:szCs w:val="28"/>
        </w:rPr>
        <w:t>工业平均地价除连云港城区外均同比增长，其中</w:t>
      </w:r>
      <w:r>
        <w:rPr>
          <w:rFonts w:hint="eastAsia"/>
          <w:sz w:val="28"/>
          <w:szCs w:val="28"/>
        </w:rPr>
        <w:t>常州</w:t>
      </w:r>
      <w:r>
        <w:rPr>
          <w:rFonts w:hint="eastAsia"/>
          <w:sz w:val="28"/>
          <w:szCs w:val="28"/>
        </w:rPr>
        <w:t>城区工业平均地价同比增长率最高，为</w:t>
      </w:r>
      <w:r>
        <w:rPr>
          <w:rFonts w:hint="eastAsia"/>
          <w:sz w:val="28"/>
          <w:szCs w:val="28"/>
        </w:rPr>
        <w:t>4.24</w:t>
      </w:r>
      <w:r>
        <w:rPr>
          <w:rFonts w:hint="eastAsia"/>
          <w:sz w:val="28"/>
          <w:szCs w:val="28"/>
        </w:rPr>
        <w:t>%</w:t>
      </w:r>
      <w:r>
        <w:rPr>
          <w:rFonts w:hint="eastAsia"/>
          <w:sz w:val="28"/>
          <w:szCs w:val="28"/>
        </w:rPr>
        <w:t>，连云港城区最低，为</w:t>
      </w:r>
      <w:r>
        <w:rPr>
          <w:rFonts w:hint="eastAsia"/>
          <w:sz w:val="28"/>
          <w:szCs w:val="28"/>
        </w:rPr>
        <w:t>-0.31%</w:t>
      </w:r>
      <w:r>
        <w:rPr>
          <w:rFonts w:eastAsiaTheme="minorEastAsia"/>
          <w:sz w:val="28"/>
          <w:szCs w:val="28"/>
        </w:rPr>
        <w:t>。</w:t>
      </w:r>
    </w:p>
    <w:p w:rsidR="00BA2EDB" w:rsidRDefault="00C86BD0">
      <w:pPr>
        <w:spacing w:line="300" w:lineRule="auto"/>
        <w:ind w:firstLineChars="200" w:firstLine="640"/>
        <w:outlineLvl w:val="0"/>
        <w:rPr>
          <w:rFonts w:ascii="黑体" w:eastAsia="黑体" w:hAnsi="黑体"/>
          <w:bCs/>
          <w:sz w:val="32"/>
        </w:rPr>
      </w:pPr>
      <w:r>
        <w:rPr>
          <w:rFonts w:ascii="黑体" w:eastAsia="黑体" w:hAnsi="黑体" w:hint="eastAsia"/>
          <w:bCs/>
          <w:sz w:val="32"/>
        </w:rPr>
        <w:t>三</w:t>
      </w:r>
      <w:r>
        <w:rPr>
          <w:rFonts w:ascii="黑体" w:eastAsia="黑体" w:hAnsi="黑体"/>
          <w:bCs/>
          <w:sz w:val="32"/>
        </w:rPr>
        <w:t>、</w:t>
      </w:r>
      <w:r>
        <w:rPr>
          <w:rFonts w:ascii="黑体" w:eastAsia="黑体" w:hAnsi="黑体"/>
          <w:bCs/>
          <w:sz w:val="32"/>
        </w:rPr>
        <w:t>202</w:t>
      </w:r>
      <w:r>
        <w:rPr>
          <w:rFonts w:ascii="黑体" w:eastAsia="黑体" w:hAnsi="黑体" w:hint="eastAsia"/>
          <w:bCs/>
          <w:sz w:val="32"/>
        </w:rPr>
        <w:t>3</w:t>
      </w:r>
      <w:r>
        <w:rPr>
          <w:rFonts w:ascii="黑体" w:eastAsia="黑体" w:hAnsi="黑体"/>
          <w:bCs/>
          <w:sz w:val="32"/>
        </w:rPr>
        <w:t>年度全省城市地价</w:t>
      </w:r>
      <w:r>
        <w:rPr>
          <w:rFonts w:ascii="黑体" w:eastAsia="黑体" w:hAnsi="黑体" w:hint="eastAsia"/>
          <w:bCs/>
          <w:sz w:val="32"/>
        </w:rPr>
        <w:t>动态监测</w:t>
      </w:r>
      <w:r>
        <w:rPr>
          <w:rFonts w:ascii="黑体" w:eastAsia="黑体" w:hAnsi="黑体"/>
          <w:bCs/>
          <w:sz w:val="32"/>
        </w:rPr>
        <w:t>工作</w:t>
      </w:r>
    </w:p>
    <w:p w:rsidR="00BA2EDB" w:rsidRDefault="00C86BD0">
      <w:pPr>
        <w:spacing w:line="300" w:lineRule="auto"/>
        <w:ind w:firstLineChars="200" w:firstLine="562"/>
        <w:rPr>
          <w:sz w:val="28"/>
          <w:szCs w:val="28"/>
        </w:rPr>
      </w:pPr>
      <w:r>
        <w:rPr>
          <w:rFonts w:hint="eastAsia"/>
          <w:b/>
          <w:sz w:val="28"/>
          <w:szCs w:val="28"/>
        </w:rPr>
        <w:t>一是做好城</w:t>
      </w:r>
      <w:r>
        <w:rPr>
          <w:rFonts w:hint="eastAsia"/>
          <w:b/>
          <w:sz w:val="28"/>
          <w:szCs w:val="28"/>
        </w:rPr>
        <w:t>市</w:t>
      </w:r>
      <w:r>
        <w:rPr>
          <w:b/>
          <w:sz w:val="28"/>
          <w:szCs w:val="28"/>
        </w:rPr>
        <w:t>地价动态监测工作。</w:t>
      </w:r>
      <w:r>
        <w:rPr>
          <w:rFonts w:hint="eastAsia"/>
          <w:sz w:val="28"/>
          <w:szCs w:val="28"/>
        </w:rPr>
        <w:t>依据</w:t>
      </w:r>
      <w:r>
        <w:rPr>
          <w:sz w:val="28"/>
          <w:szCs w:val="28"/>
        </w:rPr>
        <w:t>《城市地价动态监测技术规范》（</w:t>
      </w:r>
      <w:r>
        <w:rPr>
          <w:sz w:val="28"/>
          <w:szCs w:val="28"/>
        </w:rPr>
        <w:t>TD/T 1009</w:t>
      </w:r>
      <w:r>
        <w:rPr>
          <w:sz w:val="28"/>
          <w:szCs w:val="28"/>
        </w:rPr>
        <w:t>－</w:t>
      </w:r>
      <w:r>
        <w:rPr>
          <w:sz w:val="28"/>
          <w:szCs w:val="28"/>
        </w:rPr>
        <w:t>2007</w:t>
      </w:r>
      <w:r>
        <w:rPr>
          <w:sz w:val="28"/>
          <w:szCs w:val="28"/>
        </w:rPr>
        <w:t>）</w:t>
      </w:r>
      <w:r>
        <w:rPr>
          <w:rFonts w:hint="eastAsia"/>
          <w:sz w:val="28"/>
          <w:szCs w:val="28"/>
        </w:rPr>
        <w:t>、</w:t>
      </w:r>
      <w:r>
        <w:rPr>
          <w:sz w:val="28"/>
          <w:szCs w:val="28"/>
        </w:rPr>
        <w:t>《江苏省城镇地价动态监测技术规范</w:t>
      </w:r>
      <w:r>
        <w:rPr>
          <w:rFonts w:hint="eastAsia"/>
          <w:sz w:val="28"/>
          <w:szCs w:val="28"/>
        </w:rPr>
        <w:t>（</w:t>
      </w:r>
      <w:r>
        <w:rPr>
          <w:rFonts w:hint="eastAsia"/>
          <w:sz w:val="28"/>
          <w:szCs w:val="28"/>
        </w:rPr>
        <w:t>2019</w:t>
      </w:r>
      <w:r>
        <w:rPr>
          <w:rFonts w:hint="eastAsia"/>
          <w:sz w:val="28"/>
          <w:szCs w:val="28"/>
        </w:rPr>
        <w:t>年版</w:t>
      </w:r>
      <w:r>
        <w:rPr>
          <w:sz w:val="28"/>
          <w:szCs w:val="28"/>
        </w:rPr>
        <w:t>）》</w:t>
      </w:r>
      <w:r>
        <w:rPr>
          <w:rFonts w:hint="eastAsia"/>
          <w:sz w:val="28"/>
          <w:szCs w:val="28"/>
        </w:rPr>
        <w:t>，开展</w:t>
      </w:r>
      <w:r>
        <w:rPr>
          <w:sz w:val="28"/>
          <w:szCs w:val="28"/>
        </w:rPr>
        <w:t>国家级</w:t>
      </w:r>
      <w:r>
        <w:rPr>
          <w:rFonts w:hint="eastAsia"/>
          <w:sz w:val="28"/>
          <w:szCs w:val="28"/>
        </w:rPr>
        <w:t>、</w:t>
      </w:r>
      <w:r>
        <w:rPr>
          <w:sz w:val="28"/>
          <w:szCs w:val="28"/>
        </w:rPr>
        <w:t>省级</w:t>
      </w:r>
      <w:r>
        <w:rPr>
          <w:rFonts w:hint="eastAsia"/>
          <w:sz w:val="28"/>
          <w:szCs w:val="28"/>
        </w:rPr>
        <w:t>城</w:t>
      </w:r>
      <w:r>
        <w:rPr>
          <w:rFonts w:hint="eastAsia"/>
          <w:sz w:val="28"/>
          <w:szCs w:val="28"/>
        </w:rPr>
        <w:t>市</w:t>
      </w:r>
      <w:r>
        <w:rPr>
          <w:sz w:val="28"/>
          <w:szCs w:val="28"/>
        </w:rPr>
        <w:t>地价动态监测，</w:t>
      </w:r>
      <w:r>
        <w:rPr>
          <w:rFonts w:hint="eastAsia"/>
          <w:sz w:val="28"/>
          <w:szCs w:val="28"/>
        </w:rPr>
        <w:t>对监测范围、地价区段、地价监测点进行维护和更新，加强监督管理，不断完善南京地价动态监测优化试点工作，做好与国家级监测工作的衔接。</w:t>
      </w:r>
    </w:p>
    <w:p w:rsidR="00BA2EDB" w:rsidRDefault="00C86BD0">
      <w:pPr>
        <w:spacing w:line="300" w:lineRule="auto"/>
        <w:ind w:firstLineChars="200" w:firstLine="562"/>
        <w:rPr>
          <w:sz w:val="28"/>
          <w:szCs w:val="28"/>
        </w:rPr>
      </w:pPr>
      <w:r>
        <w:rPr>
          <w:rFonts w:hint="eastAsia"/>
          <w:b/>
          <w:sz w:val="28"/>
          <w:szCs w:val="28"/>
        </w:rPr>
        <w:lastRenderedPageBreak/>
        <w:t>二是加强土地</w:t>
      </w:r>
      <w:r>
        <w:rPr>
          <w:b/>
          <w:sz w:val="28"/>
          <w:szCs w:val="28"/>
        </w:rPr>
        <w:t>市场</w:t>
      </w:r>
      <w:r>
        <w:rPr>
          <w:rFonts w:hint="eastAsia"/>
          <w:b/>
          <w:sz w:val="28"/>
          <w:szCs w:val="28"/>
        </w:rPr>
        <w:t>分析监测</w:t>
      </w:r>
      <w:r>
        <w:rPr>
          <w:b/>
          <w:sz w:val="28"/>
          <w:szCs w:val="28"/>
        </w:rPr>
        <w:t>。</w:t>
      </w:r>
      <w:r>
        <w:rPr>
          <w:rFonts w:hint="eastAsia"/>
          <w:sz w:val="28"/>
          <w:szCs w:val="28"/>
        </w:rPr>
        <w:t>及时发布</w:t>
      </w:r>
      <w:r>
        <w:rPr>
          <w:sz w:val="28"/>
          <w:szCs w:val="28"/>
        </w:rPr>
        <w:t>城</w:t>
      </w:r>
      <w:r>
        <w:rPr>
          <w:rFonts w:hint="eastAsia"/>
          <w:sz w:val="28"/>
          <w:szCs w:val="28"/>
        </w:rPr>
        <w:t>市</w:t>
      </w:r>
      <w:r>
        <w:rPr>
          <w:sz w:val="28"/>
          <w:szCs w:val="28"/>
        </w:rPr>
        <w:t>地价动态监测</w:t>
      </w:r>
      <w:r>
        <w:rPr>
          <w:rFonts w:hint="eastAsia"/>
          <w:sz w:val="28"/>
          <w:szCs w:val="28"/>
        </w:rPr>
        <w:t>数据</w:t>
      </w:r>
      <w:r>
        <w:rPr>
          <w:rFonts w:hint="eastAsia"/>
          <w:sz w:val="28"/>
          <w:szCs w:val="28"/>
        </w:rPr>
        <w:t>，真实</w:t>
      </w:r>
      <w:r>
        <w:rPr>
          <w:sz w:val="28"/>
          <w:szCs w:val="28"/>
        </w:rPr>
        <w:t>、准确地反映季度和年度的地价变化趋势</w:t>
      </w:r>
      <w:r>
        <w:rPr>
          <w:rFonts w:hint="eastAsia"/>
          <w:sz w:val="28"/>
          <w:szCs w:val="28"/>
        </w:rPr>
        <w:t>。</w:t>
      </w:r>
      <w:r>
        <w:rPr>
          <w:rFonts w:hint="eastAsia"/>
          <w:sz w:val="28"/>
          <w:szCs w:val="28"/>
        </w:rPr>
        <w:t>密切关注房地产市场宏观调控政策、土地市场动向、经济运行相关指标，</w:t>
      </w:r>
      <w:r>
        <w:rPr>
          <w:sz w:val="28"/>
          <w:szCs w:val="28"/>
        </w:rPr>
        <w:t>加强数据统计、</w:t>
      </w:r>
      <w:r>
        <w:rPr>
          <w:rFonts w:hint="eastAsia"/>
          <w:sz w:val="28"/>
          <w:szCs w:val="28"/>
        </w:rPr>
        <w:t>动态</w:t>
      </w:r>
      <w:r>
        <w:rPr>
          <w:sz w:val="28"/>
          <w:szCs w:val="28"/>
        </w:rPr>
        <w:t>监管、市场分析</w:t>
      </w:r>
      <w:r>
        <w:rPr>
          <w:rFonts w:hint="eastAsia"/>
          <w:sz w:val="28"/>
          <w:szCs w:val="28"/>
        </w:rPr>
        <w:t>，</w:t>
      </w:r>
      <w:r>
        <w:rPr>
          <w:rFonts w:hint="eastAsia"/>
          <w:sz w:val="28"/>
          <w:szCs w:val="28"/>
        </w:rPr>
        <w:t>开展</w:t>
      </w:r>
      <w:r>
        <w:rPr>
          <w:rFonts w:hint="eastAsia"/>
          <w:sz w:val="28"/>
          <w:szCs w:val="28"/>
        </w:rPr>
        <w:t>住宅用地供应形势分析，加强住宅用地分类调控，</w:t>
      </w:r>
      <w:r>
        <w:rPr>
          <w:sz w:val="28"/>
          <w:szCs w:val="28"/>
        </w:rPr>
        <w:t>促进房地产市场平稳健康发展</w:t>
      </w:r>
      <w:r>
        <w:rPr>
          <w:rFonts w:hint="eastAsia"/>
          <w:sz w:val="28"/>
          <w:szCs w:val="28"/>
        </w:rPr>
        <w:t>。</w:t>
      </w:r>
    </w:p>
    <w:p w:rsidR="00BA2EDB" w:rsidRDefault="00C86BD0">
      <w:pPr>
        <w:spacing w:line="300" w:lineRule="auto"/>
        <w:ind w:firstLineChars="200" w:firstLine="562"/>
        <w:rPr>
          <w:sz w:val="28"/>
          <w:szCs w:val="28"/>
        </w:rPr>
      </w:pPr>
      <w:r>
        <w:rPr>
          <w:rFonts w:hint="eastAsia"/>
          <w:b/>
          <w:sz w:val="28"/>
          <w:szCs w:val="28"/>
        </w:rPr>
        <w:t>三是</w:t>
      </w:r>
      <w:r>
        <w:rPr>
          <w:rFonts w:hint="eastAsia"/>
          <w:b/>
          <w:sz w:val="28"/>
          <w:szCs w:val="28"/>
        </w:rPr>
        <w:t>健全</w:t>
      </w:r>
      <w:r>
        <w:rPr>
          <w:rFonts w:hint="eastAsia"/>
          <w:b/>
          <w:sz w:val="28"/>
          <w:szCs w:val="28"/>
        </w:rPr>
        <w:t>地价管理</w:t>
      </w:r>
      <w:r>
        <w:rPr>
          <w:rFonts w:hint="eastAsia"/>
          <w:b/>
          <w:sz w:val="28"/>
          <w:szCs w:val="28"/>
        </w:rPr>
        <w:t>工作</w:t>
      </w:r>
      <w:r>
        <w:rPr>
          <w:b/>
          <w:sz w:val="28"/>
          <w:szCs w:val="28"/>
        </w:rPr>
        <w:t>机制。</w:t>
      </w:r>
      <w:r>
        <w:rPr>
          <w:rFonts w:hint="eastAsia"/>
          <w:sz w:val="28"/>
          <w:szCs w:val="28"/>
        </w:rPr>
        <w:t>充分发挥市场在资源配置中的决定性作用，通过完善土地</w:t>
      </w:r>
      <w:r w:rsidR="00171BA0">
        <w:rPr>
          <w:rFonts w:hint="eastAsia"/>
          <w:sz w:val="28"/>
          <w:szCs w:val="28"/>
        </w:rPr>
        <w:t>价格</w:t>
      </w:r>
      <w:r>
        <w:rPr>
          <w:rFonts w:hint="eastAsia"/>
          <w:sz w:val="28"/>
          <w:szCs w:val="28"/>
        </w:rPr>
        <w:t>动态监管机制，探索建立与市场价格相挂钩的公示地价动态调整机制，进一步加强地价管理工作，为促进土地资源要素流转、构建全国统一大市场、推进城乡融合和区域协调发展提供基础保障。</w:t>
      </w:r>
    </w:p>
    <w:sectPr w:rsidR="00BA2EDB">
      <w:footerReference w:type="default" r:id="rId9"/>
      <w:footnotePr>
        <w:numFmt w:val="decimalEnclosedCircleChinese"/>
        <w:numRestart w:val="eachPage"/>
      </w:footnotePr>
      <w:pgSz w:w="11907" w:h="16839"/>
      <w:pgMar w:top="1440" w:right="1797" w:bottom="1440" w:left="1797"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BD0" w:rsidRDefault="00C86BD0">
      <w:r>
        <w:separator/>
      </w:r>
    </w:p>
  </w:endnote>
  <w:endnote w:type="continuationSeparator" w:id="0">
    <w:p w:rsidR="00C86BD0" w:rsidRDefault="00C86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2EDB" w:rsidRDefault="00C86BD0">
    <w:pPr>
      <w:pStyle w:val="af0"/>
      <w:jc w:val="cen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D45DDD">
      <w:rPr>
        <w:rFonts w:ascii="Times New Roman" w:hAnsi="Times New Roman"/>
        <w:noProof/>
      </w:rPr>
      <w:t>2</w:t>
    </w:r>
    <w:r>
      <w:rPr>
        <w:rFonts w:ascii="Times New Roman" w:hAnsi="Times New Roman"/>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BD0" w:rsidRDefault="00C86BD0">
      <w:r>
        <w:separator/>
      </w:r>
    </w:p>
  </w:footnote>
  <w:footnote w:type="continuationSeparator" w:id="0">
    <w:p w:rsidR="00C86BD0" w:rsidRDefault="00C86B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displayBackgroundShape/>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7C1"/>
    <w:rsid w:val="000000F7"/>
    <w:rsid w:val="00000C83"/>
    <w:rsid w:val="000011DA"/>
    <w:rsid w:val="00001372"/>
    <w:rsid w:val="0000155C"/>
    <w:rsid w:val="0000176C"/>
    <w:rsid w:val="00001FEC"/>
    <w:rsid w:val="000025C5"/>
    <w:rsid w:val="00002694"/>
    <w:rsid w:val="00002DF9"/>
    <w:rsid w:val="00003219"/>
    <w:rsid w:val="000040B6"/>
    <w:rsid w:val="00004454"/>
    <w:rsid w:val="0000454C"/>
    <w:rsid w:val="00004752"/>
    <w:rsid w:val="00004B1C"/>
    <w:rsid w:val="00004B28"/>
    <w:rsid w:val="0000574E"/>
    <w:rsid w:val="00005D6B"/>
    <w:rsid w:val="00006171"/>
    <w:rsid w:val="00006484"/>
    <w:rsid w:val="00006517"/>
    <w:rsid w:val="0000798E"/>
    <w:rsid w:val="00007AE6"/>
    <w:rsid w:val="000109B9"/>
    <w:rsid w:val="00010DA8"/>
    <w:rsid w:val="00010E5B"/>
    <w:rsid w:val="00011147"/>
    <w:rsid w:val="00011DDF"/>
    <w:rsid w:val="000120D7"/>
    <w:rsid w:val="0001297B"/>
    <w:rsid w:val="000129A6"/>
    <w:rsid w:val="00012C61"/>
    <w:rsid w:val="00012EB3"/>
    <w:rsid w:val="00013170"/>
    <w:rsid w:val="0001345A"/>
    <w:rsid w:val="0001348E"/>
    <w:rsid w:val="0001387E"/>
    <w:rsid w:val="0001392C"/>
    <w:rsid w:val="00013A1F"/>
    <w:rsid w:val="00013B36"/>
    <w:rsid w:val="00013B89"/>
    <w:rsid w:val="00013BEF"/>
    <w:rsid w:val="00013C3F"/>
    <w:rsid w:val="00013CDC"/>
    <w:rsid w:val="000143C4"/>
    <w:rsid w:val="000147B2"/>
    <w:rsid w:val="000147FC"/>
    <w:rsid w:val="0001487B"/>
    <w:rsid w:val="000148E1"/>
    <w:rsid w:val="00014EF5"/>
    <w:rsid w:val="00015339"/>
    <w:rsid w:val="00015351"/>
    <w:rsid w:val="0001550A"/>
    <w:rsid w:val="000159A9"/>
    <w:rsid w:val="00015CB3"/>
    <w:rsid w:val="00016938"/>
    <w:rsid w:val="00016F5C"/>
    <w:rsid w:val="00016F8A"/>
    <w:rsid w:val="000172B3"/>
    <w:rsid w:val="00017B03"/>
    <w:rsid w:val="00017C6E"/>
    <w:rsid w:val="00017D36"/>
    <w:rsid w:val="00017D7C"/>
    <w:rsid w:val="00020025"/>
    <w:rsid w:val="000205F1"/>
    <w:rsid w:val="00020824"/>
    <w:rsid w:val="00020A3C"/>
    <w:rsid w:val="00020BC1"/>
    <w:rsid w:val="000211F1"/>
    <w:rsid w:val="00021567"/>
    <w:rsid w:val="00021747"/>
    <w:rsid w:val="0002182B"/>
    <w:rsid w:val="00021C74"/>
    <w:rsid w:val="00022381"/>
    <w:rsid w:val="000224C7"/>
    <w:rsid w:val="00022587"/>
    <w:rsid w:val="000226AD"/>
    <w:rsid w:val="00022854"/>
    <w:rsid w:val="00023023"/>
    <w:rsid w:val="0002307E"/>
    <w:rsid w:val="00023639"/>
    <w:rsid w:val="000236A1"/>
    <w:rsid w:val="00023782"/>
    <w:rsid w:val="000239B2"/>
    <w:rsid w:val="00023D71"/>
    <w:rsid w:val="0002413A"/>
    <w:rsid w:val="00024308"/>
    <w:rsid w:val="00024391"/>
    <w:rsid w:val="0002442A"/>
    <w:rsid w:val="0002476C"/>
    <w:rsid w:val="00024F03"/>
    <w:rsid w:val="0002546C"/>
    <w:rsid w:val="000255FD"/>
    <w:rsid w:val="00025817"/>
    <w:rsid w:val="00025B05"/>
    <w:rsid w:val="00025E32"/>
    <w:rsid w:val="00025E95"/>
    <w:rsid w:val="000260C0"/>
    <w:rsid w:val="000261FB"/>
    <w:rsid w:val="000263B9"/>
    <w:rsid w:val="000268ED"/>
    <w:rsid w:val="000269AE"/>
    <w:rsid w:val="00026C6E"/>
    <w:rsid w:val="000271BB"/>
    <w:rsid w:val="00027489"/>
    <w:rsid w:val="00027866"/>
    <w:rsid w:val="000300ED"/>
    <w:rsid w:val="0003018E"/>
    <w:rsid w:val="00030D72"/>
    <w:rsid w:val="00030E1E"/>
    <w:rsid w:val="0003103C"/>
    <w:rsid w:val="000312F7"/>
    <w:rsid w:val="000320CB"/>
    <w:rsid w:val="0003232F"/>
    <w:rsid w:val="0003270B"/>
    <w:rsid w:val="00032759"/>
    <w:rsid w:val="00032930"/>
    <w:rsid w:val="00032EBD"/>
    <w:rsid w:val="00032FC7"/>
    <w:rsid w:val="0003337E"/>
    <w:rsid w:val="00033626"/>
    <w:rsid w:val="00033AD2"/>
    <w:rsid w:val="00034105"/>
    <w:rsid w:val="0003453D"/>
    <w:rsid w:val="0003481F"/>
    <w:rsid w:val="00034936"/>
    <w:rsid w:val="00034FEB"/>
    <w:rsid w:val="0003515A"/>
    <w:rsid w:val="0003529F"/>
    <w:rsid w:val="00035B9B"/>
    <w:rsid w:val="0003608F"/>
    <w:rsid w:val="000365D2"/>
    <w:rsid w:val="00036687"/>
    <w:rsid w:val="00036699"/>
    <w:rsid w:val="00036959"/>
    <w:rsid w:val="00036A28"/>
    <w:rsid w:val="000377B3"/>
    <w:rsid w:val="00037937"/>
    <w:rsid w:val="000379EC"/>
    <w:rsid w:val="00037E64"/>
    <w:rsid w:val="000402C5"/>
    <w:rsid w:val="00040583"/>
    <w:rsid w:val="0004089D"/>
    <w:rsid w:val="00040952"/>
    <w:rsid w:val="00040CCB"/>
    <w:rsid w:val="000413D9"/>
    <w:rsid w:val="000414A4"/>
    <w:rsid w:val="000420A4"/>
    <w:rsid w:val="000421D6"/>
    <w:rsid w:val="000427EB"/>
    <w:rsid w:val="00042AA1"/>
    <w:rsid w:val="00042D9D"/>
    <w:rsid w:val="00043D4C"/>
    <w:rsid w:val="000448F2"/>
    <w:rsid w:val="000449B9"/>
    <w:rsid w:val="00044B42"/>
    <w:rsid w:val="00044C71"/>
    <w:rsid w:val="00044E6C"/>
    <w:rsid w:val="00044F4B"/>
    <w:rsid w:val="00044FCA"/>
    <w:rsid w:val="0004505C"/>
    <w:rsid w:val="00045691"/>
    <w:rsid w:val="00045C4C"/>
    <w:rsid w:val="00045DF0"/>
    <w:rsid w:val="000462C5"/>
    <w:rsid w:val="000464FE"/>
    <w:rsid w:val="000475DB"/>
    <w:rsid w:val="00047714"/>
    <w:rsid w:val="000478B3"/>
    <w:rsid w:val="00047D9F"/>
    <w:rsid w:val="00050253"/>
    <w:rsid w:val="00050473"/>
    <w:rsid w:val="00050C76"/>
    <w:rsid w:val="00051373"/>
    <w:rsid w:val="0005141D"/>
    <w:rsid w:val="0005196D"/>
    <w:rsid w:val="00051FAF"/>
    <w:rsid w:val="00051FC9"/>
    <w:rsid w:val="00052520"/>
    <w:rsid w:val="00052589"/>
    <w:rsid w:val="0005291A"/>
    <w:rsid w:val="00052A49"/>
    <w:rsid w:val="00052B52"/>
    <w:rsid w:val="00052BDF"/>
    <w:rsid w:val="00053221"/>
    <w:rsid w:val="00053406"/>
    <w:rsid w:val="00053D7B"/>
    <w:rsid w:val="00053DD4"/>
    <w:rsid w:val="00053F37"/>
    <w:rsid w:val="00054436"/>
    <w:rsid w:val="00054636"/>
    <w:rsid w:val="00055494"/>
    <w:rsid w:val="0005558A"/>
    <w:rsid w:val="00055985"/>
    <w:rsid w:val="00055AC1"/>
    <w:rsid w:val="00055AE1"/>
    <w:rsid w:val="000565E3"/>
    <w:rsid w:val="00056844"/>
    <w:rsid w:val="000568DF"/>
    <w:rsid w:val="00056915"/>
    <w:rsid w:val="00056957"/>
    <w:rsid w:val="00056BA1"/>
    <w:rsid w:val="00056DE9"/>
    <w:rsid w:val="000573E0"/>
    <w:rsid w:val="00057614"/>
    <w:rsid w:val="00057EDD"/>
    <w:rsid w:val="00057FE6"/>
    <w:rsid w:val="0006054A"/>
    <w:rsid w:val="00060C01"/>
    <w:rsid w:val="00060E48"/>
    <w:rsid w:val="000612B6"/>
    <w:rsid w:val="000612EB"/>
    <w:rsid w:val="0006135D"/>
    <w:rsid w:val="00061653"/>
    <w:rsid w:val="0006175A"/>
    <w:rsid w:val="00061863"/>
    <w:rsid w:val="00061F53"/>
    <w:rsid w:val="00062034"/>
    <w:rsid w:val="0006277F"/>
    <w:rsid w:val="00062B81"/>
    <w:rsid w:val="000633BA"/>
    <w:rsid w:val="00063411"/>
    <w:rsid w:val="000634B7"/>
    <w:rsid w:val="00063678"/>
    <w:rsid w:val="000638D6"/>
    <w:rsid w:val="0006398A"/>
    <w:rsid w:val="00063A06"/>
    <w:rsid w:val="00064406"/>
    <w:rsid w:val="000646D1"/>
    <w:rsid w:val="00064B4B"/>
    <w:rsid w:val="00064DF5"/>
    <w:rsid w:val="00064E17"/>
    <w:rsid w:val="00065207"/>
    <w:rsid w:val="00065241"/>
    <w:rsid w:val="00065269"/>
    <w:rsid w:val="0006562A"/>
    <w:rsid w:val="00065E8A"/>
    <w:rsid w:val="00065FCE"/>
    <w:rsid w:val="0006609E"/>
    <w:rsid w:val="00066F98"/>
    <w:rsid w:val="00067163"/>
    <w:rsid w:val="0006773B"/>
    <w:rsid w:val="00067A7F"/>
    <w:rsid w:val="00067DDE"/>
    <w:rsid w:val="000702BD"/>
    <w:rsid w:val="00070453"/>
    <w:rsid w:val="000704C5"/>
    <w:rsid w:val="000704EC"/>
    <w:rsid w:val="00070B52"/>
    <w:rsid w:val="00070EE2"/>
    <w:rsid w:val="000711BC"/>
    <w:rsid w:val="0007132E"/>
    <w:rsid w:val="00071B0D"/>
    <w:rsid w:val="00071F1B"/>
    <w:rsid w:val="00071FE6"/>
    <w:rsid w:val="0007206C"/>
    <w:rsid w:val="00072570"/>
    <w:rsid w:val="00072B41"/>
    <w:rsid w:val="00072DA7"/>
    <w:rsid w:val="00072E87"/>
    <w:rsid w:val="000730C3"/>
    <w:rsid w:val="000735EC"/>
    <w:rsid w:val="00073B2D"/>
    <w:rsid w:val="0007487E"/>
    <w:rsid w:val="0007489D"/>
    <w:rsid w:val="000749E5"/>
    <w:rsid w:val="00074C05"/>
    <w:rsid w:val="00074D83"/>
    <w:rsid w:val="0007512C"/>
    <w:rsid w:val="00075267"/>
    <w:rsid w:val="000754A4"/>
    <w:rsid w:val="00075563"/>
    <w:rsid w:val="00075802"/>
    <w:rsid w:val="00075D39"/>
    <w:rsid w:val="00075DB5"/>
    <w:rsid w:val="00076000"/>
    <w:rsid w:val="000768B6"/>
    <w:rsid w:val="0007692E"/>
    <w:rsid w:val="00076AE1"/>
    <w:rsid w:val="00076CA6"/>
    <w:rsid w:val="00076E21"/>
    <w:rsid w:val="00076F31"/>
    <w:rsid w:val="00076FB4"/>
    <w:rsid w:val="00076FCB"/>
    <w:rsid w:val="0007763F"/>
    <w:rsid w:val="000777BB"/>
    <w:rsid w:val="000777F7"/>
    <w:rsid w:val="00077830"/>
    <w:rsid w:val="000778E4"/>
    <w:rsid w:val="00077A21"/>
    <w:rsid w:val="00077BBB"/>
    <w:rsid w:val="00080147"/>
    <w:rsid w:val="000801DE"/>
    <w:rsid w:val="00080403"/>
    <w:rsid w:val="000807DF"/>
    <w:rsid w:val="0008099D"/>
    <w:rsid w:val="00080C93"/>
    <w:rsid w:val="00080F2D"/>
    <w:rsid w:val="00081B77"/>
    <w:rsid w:val="00081F92"/>
    <w:rsid w:val="00082598"/>
    <w:rsid w:val="000833B1"/>
    <w:rsid w:val="00083511"/>
    <w:rsid w:val="00083CC4"/>
    <w:rsid w:val="0008416B"/>
    <w:rsid w:val="000841D9"/>
    <w:rsid w:val="00084568"/>
    <w:rsid w:val="000849C9"/>
    <w:rsid w:val="00084DCC"/>
    <w:rsid w:val="00085223"/>
    <w:rsid w:val="0008526F"/>
    <w:rsid w:val="000855F8"/>
    <w:rsid w:val="00085653"/>
    <w:rsid w:val="0008586F"/>
    <w:rsid w:val="00085A9C"/>
    <w:rsid w:val="00085BC0"/>
    <w:rsid w:val="000862A5"/>
    <w:rsid w:val="00086458"/>
    <w:rsid w:val="00086AFF"/>
    <w:rsid w:val="00086B99"/>
    <w:rsid w:val="00086BF9"/>
    <w:rsid w:val="00086F09"/>
    <w:rsid w:val="00087339"/>
    <w:rsid w:val="000877AD"/>
    <w:rsid w:val="00090445"/>
    <w:rsid w:val="00090848"/>
    <w:rsid w:val="00090A20"/>
    <w:rsid w:val="00090E91"/>
    <w:rsid w:val="00091075"/>
    <w:rsid w:val="000912EF"/>
    <w:rsid w:val="0009130E"/>
    <w:rsid w:val="0009146E"/>
    <w:rsid w:val="00091572"/>
    <w:rsid w:val="00091911"/>
    <w:rsid w:val="00091A59"/>
    <w:rsid w:val="00091A71"/>
    <w:rsid w:val="00091AE4"/>
    <w:rsid w:val="00091C37"/>
    <w:rsid w:val="00091C80"/>
    <w:rsid w:val="0009220E"/>
    <w:rsid w:val="000922F8"/>
    <w:rsid w:val="0009262A"/>
    <w:rsid w:val="000927E3"/>
    <w:rsid w:val="00092B8B"/>
    <w:rsid w:val="000931BB"/>
    <w:rsid w:val="00093216"/>
    <w:rsid w:val="00093C74"/>
    <w:rsid w:val="00093DD2"/>
    <w:rsid w:val="0009450A"/>
    <w:rsid w:val="000947F0"/>
    <w:rsid w:val="00094C66"/>
    <w:rsid w:val="00094D5F"/>
    <w:rsid w:val="00094E1B"/>
    <w:rsid w:val="00095120"/>
    <w:rsid w:val="00095546"/>
    <w:rsid w:val="00095742"/>
    <w:rsid w:val="0009595E"/>
    <w:rsid w:val="00095AFE"/>
    <w:rsid w:val="00095BA1"/>
    <w:rsid w:val="00095F62"/>
    <w:rsid w:val="00096A8E"/>
    <w:rsid w:val="00096B7E"/>
    <w:rsid w:val="00096B85"/>
    <w:rsid w:val="00096E1C"/>
    <w:rsid w:val="00096EA1"/>
    <w:rsid w:val="000970AC"/>
    <w:rsid w:val="0009759A"/>
    <w:rsid w:val="0009786D"/>
    <w:rsid w:val="00097E6E"/>
    <w:rsid w:val="000A0415"/>
    <w:rsid w:val="000A0FFC"/>
    <w:rsid w:val="000A12CD"/>
    <w:rsid w:val="000A1AEA"/>
    <w:rsid w:val="000A2033"/>
    <w:rsid w:val="000A2A9A"/>
    <w:rsid w:val="000A2B94"/>
    <w:rsid w:val="000A30CA"/>
    <w:rsid w:val="000A3716"/>
    <w:rsid w:val="000A3D0B"/>
    <w:rsid w:val="000A3DEA"/>
    <w:rsid w:val="000A3EC4"/>
    <w:rsid w:val="000A4070"/>
    <w:rsid w:val="000A4313"/>
    <w:rsid w:val="000A453D"/>
    <w:rsid w:val="000A455E"/>
    <w:rsid w:val="000A4972"/>
    <w:rsid w:val="000A563D"/>
    <w:rsid w:val="000A5AE8"/>
    <w:rsid w:val="000A5C7A"/>
    <w:rsid w:val="000A6445"/>
    <w:rsid w:val="000A6809"/>
    <w:rsid w:val="000A6E04"/>
    <w:rsid w:val="000A7088"/>
    <w:rsid w:val="000A72A7"/>
    <w:rsid w:val="000A794B"/>
    <w:rsid w:val="000A7963"/>
    <w:rsid w:val="000A7BD0"/>
    <w:rsid w:val="000B00E5"/>
    <w:rsid w:val="000B0270"/>
    <w:rsid w:val="000B027B"/>
    <w:rsid w:val="000B02A7"/>
    <w:rsid w:val="000B080C"/>
    <w:rsid w:val="000B092B"/>
    <w:rsid w:val="000B0E2B"/>
    <w:rsid w:val="000B0E68"/>
    <w:rsid w:val="000B155B"/>
    <w:rsid w:val="000B1AA6"/>
    <w:rsid w:val="000B1E00"/>
    <w:rsid w:val="000B279C"/>
    <w:rsid w:val="000B2892"/>
    <w:rsid w:val="000B29F6"/>
    <w:rsid w:val="000B2C6B"/>
    <w:rsid w:val="000B2CB8"/>
    <w:rsid w:val="000B2DCE"/>
    <w:rsid w:val="000B3122"/>
    <w:rsid w:val="000B32E9"/>
    <w:rsid w:val="000B3574"/>
    <w:rsid w:val="000B35CD"/>
    <w:rsid w:val="000B3A60"/>
    <w:rsid w:val="000B3E5C"/>
    <w:rsid w:val="000B4969"/>
    <w:rsid w:val="000B4BC7"/>
    <w:rsid w:val="000B4E2D"/>
    <w:rsid w:val="000B5013"/>
    <w:rsid w:val="000B512E"/>
    <w:rsid w:val="000B5888"/>
    <w:rsid w:val="000B5B9A"/>
    <w:rsid w:val="000B5C30"/>
    <w:rsid w:val="000B60A2"/>
    <w:rsid w:val="000B6413"/>
    <w:rsid w:val="000B6883"/>
    <w:rsid w:val="000B6A95"/>
    <w:rsid w:val="000B6DEF"/>
    <w:rsid w:val="000B6FB4"/>
    <w:rsid w:val="000B71AF"/>
    <w:rsid w:val="000B71BE"/>
    <w:rsid w:val="000B725D"/>
    <w:rsid w:val="000B75C2"/>
    <w:rsid w:val="000B75E6"/>
    <w:rsid w:val="000B76B1"/>
    <w:rsid w:val="000B77E1"/>
    <w:rsid w:val="000B77E8"/>
    <w:rsid w:val="000B7AB6"/>
    <w:rsid w:val="000B7D97"/>
    <w:rsid w:val="000C0341"/>
    <w:rsid w:val="000C0575"/>
    <w:rsid w:val="000C0582"/>
    <w:rsid w:val="000C0747"/>
    <w:rsid w:val="000C0A50"/>
    <w:rsid w:val="000C15B4"/>
    <w:rsid w:val="000C19B3"/>
    <w:rsid w:val="000C1B40"/>
    <w:rsid w:val="000C1D2B"/>
    <w:rsid w:val="000C1D97"/>
    <w:rsid w:val="000C2111"/>
    <w:rsid w:val="000C245C"/>
    <w:rsid w:val="000C2529"/>
    <w:rsid w:val="000C25C8"/>
    <w:rsid w:val="000C28E5"/>
    <w:rsid w:val="000C2D8E"/>
    <w:rsid w:val="000C2FE2"/>
    <w:rsid w:val="000C2FE7"/>
    <w:rsid w:val="000C34AE"/>
    <w:rsid w:val="000C391A"/>
    <w:rsid w:val="000C398E"/>
    <w:rsid w:val="000C3B4F"/>
    <w:rsid w:val="000C3C8F"/>
    <w:rsid w:val="000C3CD9"/>
    <w:rsid w:val="000C4C50"/>
    <w:rsid w:val="000C4E71"/>
    <w:rsid w:val="000C4EA5"/>
    <w:rsid w:val="000C51DE"/>
    <w:rsid w:val="000C563E"/>
    <w:rsid w:val="000C5E63"/>
    <w:rsid w:val="000C62C9"/>
    <w:rsid w:val="000C632A"/>
    <w:rsid w:val="000C64BE"/>
    <w:rsid w:val="000C656A"/>
    <w:rsid w:val="000C6627"/>
    <w:rsid w:val="000C6713"/>
    <w:rsid w:val="000C6C87"/>
    <w:rsid w:val="000C7029"/>
    <w:rsid w:val="000C70FF"/>
    <w:rsid w:val="000C7903"/>
    <w:rsid w:val="000D0473"/>
    <w:rsid w:val="000D0966"/>
    <w:rsid w:val="000D0A3D"/>
    <w:rsid w:val="000D0D18"/>
    <w:rsid w:val="000D11BA"/>
    <w:rsid w:val="000D1339"/>
    <w:rsid w:val="000D15C4"/>
    <w:rsid w:val="000D1B63"/>
    <w:rsid w:val="000D1E3E"/>
    <w:rsid w:val="000D1F4E"/>
    <w:rsid w:val="000D1F98"/>
    <w:rsid w:val="000D2127"/>
    <w:rsid w:val="000D2399"/>
    <w:rsid w:val="000D27AF"/>
    <w:rsid w:val="000D28E4"/>
    <w:rsid w:val="000D2BD4"/>
    <w:rsid w:val="000D2D21"/>
    <w:rsid w:val="000D2D41"/>
    <w:rsid w:val="000D2DC0"/>
    <w:rsid w:val="000D2E90"/>
    <w:rsid w:val="000D3A8B"/>
    <w:rsid w:val="000D3BBD"/>
    <w:rsid w:val="000D3BE1"/>
    <w:rsid w:val="000D3CEF"/>
    <w:rsid w:val="000D422E"/>
    <w:rsid w:val="000D48FE"/>
    <w:rsid w:val="000D558D"/>
    <w:rsid w:val="000D572A"/>
    <w:rsid w:val="000D57FA"/>
    <w:rsid w:val="000D5AFE"/>
    <w:rsid w:val="000D6338"/>
    <w:rsid w:val="000D65A1"/>
    <w:rsid w:val="000D67C0"/>
    <w:rsid w:val="000D6C99"/>
    <w:rsid w:val="000D6DC9"/>
    <w:rsid w:val="000D6EE7"/>
    <w:rsid w:val="000D7024"/>
    <w:rsid w:val="000D7806"/>
    <w:rsid w:val="000E0A45"/>
    <w:rsid w:val="000E0C03"/>
    <w:rsid w:val="000E122D"/>
    <w:rsid w:val="000E141B"/>
    <w:rsid w:val="000E1867"/>
    <w:rsid w:val="000E19CE"/>
    <w:rsid w:val="000E1CC5"/>
    <w:rsid w:val="000E1CFE"/>
    <w:rsid w:val="000E1EBA"/>
    <w:rsid w:val="000E2A86"/>
    <w:rsid w:val="000E2FFD"/>
    <w:rsid w:val="000E31E6"/>
    <w:rsid w:val="000E3553"/>
    <w:rsid w:val="000E3BE0"/>
    <w:rsid w:val="000E3C9D"/>
    <w:rsid w:val="000E3F9C"/>
    <w:rsid w:val="000E3FF5"/>
    <w:rsid w:val="000E4318"/>
    <w:rsid w:val="000E4737"/>
    <w:rsid w:val="000E4756"/>
    <w:rsid w:val="000E48DC"/>
    <w:rsid w:val="000E4950"/>
    <w:rsid w:val="000E4ADF"/>
    <w:rsid w:val="000E4B01"/>
    <w:rsid w:val="000E4C93"/>
    <w:rsid w:val="000E51AD"/>
    <w:rsid w:val="000E58A5"/>
    <w:rsid w:val="000E5D02"/>
    <w:rsid w:val="000E5DDE"/>
    <w:rsid w:val="000E5E3E"/>
    <w:rsid w:val="000E6073"/>
    <w:rsid w:val="000E6239"/>
    <w:rsid w:val="000E6645"/>
    <w:rsid w:val="000E68DE"/>
    <w:rsid w:val="000E6BCC"/>
    <w:rsid w:val="000E6D50"/>
    <w:rsid w:val="000E7137"/>
    <w:rsid w:val="000E7BE3"/>
    <w:rsid w:val="000E7FDF"/>
    <w:rsid w:val="000F017D"/>
    <w:rsid w:val="000F0276"/>
    <w:rsid w:val="000F0E05"/>
    <w:rsid w:val="000F0EB1"/>
    <w:rsid w:val="000F13DF"/>
    <w:rsid w:val="000F1755"/>
    <w:rsid w:val="000F1B63"/>
    <w:rsid w:val="000F1C3C"/>
    <w:rsid w:val="000F2147"/>
    <w:rsid w:val="000F282B"/>
    <w:rsid w:val="000F2C62"/>
    <w:rsid w:val="000F2D6F"/>
    <w:rsid w:val="000F2E8E"/>
    <w:rsid w:val="000F2F5F"/>
    <w:rsid w:val="000F39D7"/>
    <w:rsid w:val="000F3DF3"/>
    <w:rsid w:val="000F3EF2"/>
    <w:rsid w:val="000F3F50"/>
    <w:rsid w:val="000F42BF"/>
    <w:rsid w:val="000F4381"/>
    <w:rsid w:val="000F4471"/>
    <w:rsid w:val="000F44CB"/>
    <w:rsid w:val="000F459D"/>
    <w:rsid w:val="000F4888"/>
    <w:rsid w:val="000F492B"/>
    <w:rsid w:val="000F51BC"/>
    <w:rsid w:val="000F51EF"/>
    <w:rsid w:val="000F543C"/>
    <w:rsid w:val="000F55AD"/>
    <w:rsid w:val="000F5840"/>
    <w:rsid w:val="000F5868"/>
    <w:rsid w:val="000F58EC"/>
    <w:rsid w:val="000F599B"/>
    <w:rsid w:val="000F5A8D"/>
    <w:rsid w:val="000F6423"/>
    <w:rsid w:val="000F646D"/>
    <w:rsid w:val="000F650D"/>
    <w:rsid w:val="000F659C"/>
    <w:rsid w:val="000F6811"/>
    <w:rsid w:val="000F6D13"/>
    <w:rsid w:val="000F7231"/>
    <w:rsid w:val="000F774E"/>
    <w:rsid w:val="000F7BAB"/>
    <w:rsid w:val="00100B0B"/>
    <w:rsid w:val="00100DD3"/>
    <w:rsid w:val="00100DF4"/>
    <w:rsid w:val="00101130"/>
    <w:rsid w:val="0010153E"/>
    <w:rsid w:val="0010167F"/>
    <w:rsid w:val="00101706"/>
    <w:rsid w:val="00101A63"/>
    <w:rsid w:val="00101F5A"/>
    <w:rsid w:val="001021F0"/>
    <w:rsid w:val="001024F8"/>
    <w:rsid w:val="00102562"/>
    <w:rsid w:val="001025CE"/>
    <w:rsid w:val="001026CD"/>
    <w:rsid w:val="00102A40"/>
    <w:rsid w:val="00103A97"/>
    <w:rsid w:val="00103E8A"/>
    <w:rsid w:val="00103FBC"/>
    <w:rsid w:val="00104CEF"/>
    <w:rsid w:val="00105835"/>
    <w:rsid w:val="00105DCF"/>
    <w:rsid w:val="00105DDF"/>
    <w:rsid w:val="00106AC0"/>
    <w:rsid w:val="00106FEC"/>
    <w:rsid w:val="001072F5"/>
    <w:rsid w:val="0010747D"/>
    <w:rsid w:val="00107EC3"/>
    <w:rsid w:val="00107FF2"/>
    <w:rsid w:val="00112537"/>
    <w:rsid w:val="00112562"/>
    <w:rsid w:val="0011266D"/>
    <w:rsid w:val="00112735"/>
    <w:rsid w:val="0011286C"/>
    <w:rsid w:val="00112980"/>
    <w:rsid w:val="00112CDA"/>
    <w:rsid w:val="00113ABC"/>
    <w:rsid w:val="00113EEC"/>
    <w:rsid w:val="00113F87"/>
    <w:rsid w:val="001144D5"/>
    <w:rsid w:val="00114677"/>
    <w:rsid w:val="0011470C"/>
    <w:rsid w:val="00115457"/>
    <w:rsid w:val="00115742"/>
    <w:rsid w:val="001157C2"/>
    <w:rsid w:val="00115A0B"/>
    <w:rsid w:val="0011629A"/>
    <w:rsid w:val="001162B6"/>
    <w:rsid w:val="001163C5"/>
    <w:rsid w:val="0011692C"/>
    <w:rsid w:val="00116A1C"/>
    <w:rsid w:val="001171E7"/>
    <w:rsid w:val="0011758F"/>
    <w:rsid w:val="00117774"/>
    <w:rsid w:val="00117990"/>
    <w:rsid w:val="00117AF1"/>
    <w:rsid w:val="00117C86"/>
    <w:rsid w:val="00117CBA"/>
    <w:rsid w:val="0012015C"/>
    <w:rsid w:val="001201F1"/>
    <w:rsid w:val="00120344"/>
    <w:rsid w:val="00120496"/>
    <w:rsid w:val="001208BE"/>
    <w:rsid w:val="00120BDD"/>
    <w:rsid w:val="001212C0"/>
    <w:rsid w:val="0012134E"/>
    <w:rsid w:val="001213AB"/>
    <w:rsid w:val="001214D5"/>
    <w:rsid w:val="001216DF"/>
    <w:rsid w:val="0012174E"/>
    <w:rsid w:val="0012198D"/>
    <w:rsid w:val="00121B0D"/>
    <w:rsid w:val="00121C57"/>
    <w:rsid w:val="00121CFB"/>
    <w:rsid w:val="00121F68"/>
    <w:rsid w:val="00121F70"/>
    <w:rsid w:val="001224FA"/>
    <w:rsid w:val="0012268B"/>
    <w:rsid w:val="00122907"/>
    <w:rsid w:val="0012290B"/>
    <w:rsid w:val="0012299E"/>
    <w:rsid w:val="00122AEA"/>
    <w:rsid w:val="0012361D"/>
    <w:rsid w:val="001238D9"/>
    <w:rsid w:val="00123A58"/>
    <w:rsid w:val="00123C3E"/>
    <w:rsid w:val="00123E4E"/>
    <w:rsid w:val="00124061"/>
    <w:rsid w:val="0012432B"/>
    <w:rsid w:val="001244A2"/>
    <w:rsid w:val="00124726"/>
    <w:rsid w:val="0012475A"/>
    <w:rsid w:val="00125212"/>
    <w:rsid w:val="00125665"/>
    <w:rsid w:val="001256E3"/>
    <w:rsid w:val="00125868"/>
    <w:rsid w:val="001258CC"/>
    <w:rsid w:val="00125A0E"/>
    <w:rsid w:val="00125A16"/>
    <w:rsid w:val="00125CBE"/>
    <w:rsid w:val="00125F28"/>
    <w:rsid w:val="0012612B"/>
    <w:rsid w:val="0012676D"/>
    <w:rsid w:val="00126D90"/>
    <w:rsid w:val="00126DE2"/>
    <w:rsid w:val="00126F20"/>
    <w:rsid w:val="00126FE6"/>
    <w:rsid w:val="00127454"/>
    <w:rsid w:val="00127E1F"/>
    <w:rsid w:val="00127FB3"/>
    <w:rsid w:val="00130233"/>
    <w:rsid w:val="001303A8"/>
    <w:rsid w:val="001306A3"/>
    <w:rsid w:val="0013078A"/>
    <w:rsid w:val="0013083A"/>
    <w:rsid w:val="0013124E"/>
    <w:rsid w:val="00131357"/>
    <w:rsid w:val="00131398"/>
    <w:rsid w:val="00131691"/>
    <w:rsid w:val="001318C5"/>
    <w:rsid w:val="00131E4B"/>
    <w:rsid w:val="0013219B"/>
    <w:rsid w:val="001323B5"/>
    <w:rsid w:val="00132889"/>
    <w:rsid w:val="00132D90"/>
    <w:rsid w:val="00132DDF"/>
    <w:rsid w:val="0013352B"/>
    <w:rsid w:val="0013355D"/>
    <w:rsid w:val="0013389F"/>
    <w:rsid w:val="001338EE"/>
    <w:rsid w:val="00133954"/>
    <w:rsid w:val="00133C18"/>
    <w:rsid w:val="00133E1A"/>
    <w:rsid w:val="00133F49"/>
    <w:rsid w:val="0013400E"/>
    <w:rsid w:val="001343CA"/>
    <w:rsid w:val="00134773"/>
    <w:rsid w:val="00134BD2"/>
    <w:rsid w:val="0013588A"/>
    <w:rsid w:val="001358E0"/>
    <w:rsid w:val="0013598E"/>
    <w:rsid w:val="00135DF3"/>
    <w:rsid w:val="00136836"/>
    <w:rsid w:val="001368EA"/>
    <w:rsid w:val="001369DC"/>
    <w:rsid w:val="00136ACE"/>
    <w:rsid w:val="00137111"/>
    <w:rsid w:val="0013718F"/>
    <w:rsid w:val="00137362"/>
    <w:rsid w:val="001376DE"/>
    <w:rsid w:val="00137906"/>
    <w:rsid w:val="00137E4F"/>
    <w:rsid w:val="00137F7D"/>
    <w:rsid w:val="001405D4"/>
    <w:rsid w:val="00140A10"/>
    <w:rsid w:val="00140AFD"/>
    <w:rsid w:val="00141552"/>
    <w:rsid w:val="001416F7"/>
    <w:rsid w:val="00141944"/>
    <w:rsid w:val="00141A63"/>
    <w:rsid w:val="00141D60"/>
    <w:rsid w:val="00142033"/>
    <w:rsid w:val="00142042"/>
    <w:rsid w:val="001423C6"/>
    <w:rsid w:val="0014255C"/>
    <w:rsid w:val="00142B24"/>
    <w:rsid w:val="00142B3C"/>
    <w:rsid w:val="00143140"/>
    <w:rsid w:val="00143209"/>
    <w:rsid w:val="0014355E"/>
    <w:rsid w:val="001435C2"/>
    <w:rsid w:val="00143622"/>
    <w:rsid w:val="00143791"/>
    <w:rsid w:val="0014392A"/>
    <w:rsid w:val="00143A7E"/>
    <w:rsid w:val="00143B13"/>
    <w:rsid w:val="00143CEB"/>
    <w:rsid w:val="00143E79"/>
    <w:rsid w:val="00143FB4"/>
    <w:rsid w:val="00144237"/>
    <w:rsid w:val="00144B65"/>
    <w:rsid w:val="0014512A"/>
    <w:rsid w:val="00145200"/>
    <w:rsid w:val="001453AB"/>
    <w:rsid w:val="00145825"/>
    <w:rsid w:val="00145AFA"/>
    <w:rsid w:val="00145F36"/>
    <w:rsid w:val="00146737"/>
    <w:rsid w:val="00146D64"/>
    <w:rsid w:val="00147091"/>
    <w:rsid w:val="0014765E"/>
    <w:rsid w:val="001479D9"/>
    <w:rsid w:val="00147A7E"/>
    <w:rsid w:val="00147B35"/>
    <w:rsid w:val="001504F4"/>
    <w:rsid w:val="00150D55"/>
    <w:rsid w:val="00151199"/>
    <w:rsid w:val="0015193D"/>
    <w:rsid w:val="001519CF"/>
    <w:rsid w:val="00151A15"/>
    <w:rsid w:val="00151B7F"/>
    <w:rsid w:val="00151CA3"/>
    <w:rsid w:val="00151DE3"/>
    <w:rsid w:val="00151F11"/>
    <w:rsid w:val="00152295"/>
    <w:rsid w:val="00152978"/>
    <w:rsid w:val="00152BF3"/>
    <w:rsid w:val="00152D02"/>
    <w:rsid w:val="00153064"/>
    <w:rsid w:val="0015392D"/>
    <w:rsid w:val="00153E13"/>
    <w:rsid w:val="00154189"/>
    <w:rsid w:val="0015418C"/>
    <w:rsid w:val="00154306"/>
    <w:rsid w:val="0015466D"/>
    <w:rsid w:val="00154C28"/>
    <w:rsid w:val="00155169"/>
    <w:rsid w:val="00155A14"/>
    <w:rsid w:val="00155AAD"/>
    <w:rsid w:val="00155F00"/>
    <w:rsid w:val="00156031"/>
    <w:rsid w:val="00156120"/>
    <w:rsid w:val="00156226"/>
    <w:rsid w:val="0015650B"/>
    <w:rsid w:val="001565CA"/>
    <w:rsid w:val="00156B4B"/>
    <w:rsid w:val="00157508"/>
    <w:rsid w:val="0015781B"/>
    <w:rsid w:val="00157F53"/>
    <w:rsid w:val="00157FB1"/>
    <w:rsid w:val="001603B7"/>
    <w:rsid w:val="00160F30"/>
    <w:rsid w:val="001611E4"/>
    <w:rsid w:val="0016146B"/>
    <w:rsid w:val="0016147D"/>
    <w:rsid w:val="001617C3"/>
    <w:rsid w:val="00161C70"/>
    <w:rsid w:val="00162171"/>
    <w:rsid w:val="00162302"/>
    <w:rsid w:val="001623A4"/>
    <w:rsid w:val="0016242E"/>
    <w:rsid w:val="00162544"/>
    <w:rsid w:val="0016295D"/>
    <w:rsid w:val="00163036"/>
    <w:rsid w:val="001630E8"/>
    <w:rsid w:val="0016350E"/>
    <w:rsid w:val="001638C3"/>
    <w:rsid w:val="00163B6D"/>
    <w:rsid w:val="00164540"/>
    <w:rsid w:val="00164E74"/>
    <w:rsid w:val="00165454"/>
    <w:rsid w:val="0016560D"/>
    <w:rsid w:val="001656CB"/>
    <w:rsid w:val="0016578C"/>
    <w:rsid w:val="00165AE8"/>
    <w:rsid w:val="00165F9B"/>
    <w:rsid w:val="0016629C"/>
    <w:rsid w:val="00166BB2"/>
    <w:rsid w:val="00166FE7"/>
    <w:rsid w:val="001671D7"/>
    <w:rsid w:val="001672A2"/>
    <w:rsid w:val="001673DC"/>
    <w:rsid w:val="00167417"/>
    <w:rsid w:val="0016762A"/>
    <w:rsid w:val="00167F42"/>
    <w:rsid w:val="001704A4"/>
    <w:rsid w:val="0017052E"/>
    <w:rsid w:val="00170B06"/>
    <w:rsid w:val="00170DAA"/>
    <w:rsid w:val="00170FDA"/>
    <w:rsid w:val="00171289"/>
    <w:rsid w:val="00171364"/>
    <w:rsid w:val="00171BA0"/>
    <w:rsid w:val="00171F9D"/>
    <w:rsid w:val="0017225A"/>
    <w:rsid w:val="0017250D"/>
    <w:rsid w:val="001727D2"/>
    <w:rsid w:val="00172897"/>
    <w:rsid w:val="00172BFF"/>
    <w:rsid w:val="00172CBA"/>
    <w:rsid w:val="00172ED0"/>
    <w:rsid w:val="001730EF"/>
    <w:rsid w:val="00173152"/>
    <w:rsid w:val="0017328F"/>
    <w:rsid w:val="0017342A"/>
    <w:rsid w:val="00173964"/>
    <w:rsid w:val="0017399D"/>
    <w:rsid w:val="00173EC0"/>
    <w:rsid w:val="0017419B"/>
    <w:rsid w:val="001744CC"/>
    <w:rsid w:val="00174571"/>
    <w:rsid w:val="001747EA"/>
    <w:rsid w:val="00174972"/>
    <w:rsid w:val="00174F01"/>
    <w:rsid w:val="00175148"/>
    <w:rsid w:val="001753A3"/>
    <w:rsid w:val="001755BE"/>
    <w:rsid w:val="00175919"/>
    <w:rsid w:val="00175FE6"/>
    <w:rsid w:val="001766A7"/>
    <w:rsid w:val="00176F0D"/>
    <w:rsid w:val="00176F93"/>
    <w:rsid w:val="00176FC2"/>
    <w:rsid w:val="0017714C"/>
    <w:rsid w:val="001777B5"/>
    <w:rsid w:val="00177F93"/>
    <w:rsid w:val="00180121"/>
    <w:rsid w:val="00180330"/>
    <w:rsid w:val="00180A7B"/>
    <w:rsid w:val="00180E59"/>
    <w:rsid w:val="001812CE"/>
    <w:rsid w:val="00181670"/>
    <w:rsid w:val="0018167C"/>
    <w:rsid w:val="00181AB4"/>
    <w:rsid w:val="00181D12"/>
    <w:rsid w:val="001821E4"/>
    <w:rsid w:val="001824C2"/>
    <w:rsid w:val="0018260D"/>
    <w:rsid w:val="00182754"/>
    <w:rsid w:val="00182C8F"/>
    <w:rsid w:val="00182D03"/>
    <w:rsid w:val="00182EE8"/>
    <w:rsid w:val="00183065"/>
    <w:rsid w:val="001838B9"/>
    <w:rsid w:val="00183908"/>
    <w:rsid w:val="00183B14"/>
    <w:rsid w:val="001843C7"/>
    <w:rsid w:val="0018481B"/>
    <w:rsid w:val="00184B42"/>
    <w:rsid w:val="00184C54"/>
    <w:rsid w:val="00184CCC"/>
    <w:rsid w:val="00184CCE"/>
    <w:rsid w:val="00184ECA"/>
    <w:rsid w:val="0018556F"/>
    <w:rsid w:val="00185F2A"/>
    <w:rsid w:val="00185F5D"/>
    <w:rsid w:val="00186021"/>
    <w:rsid w:val="001861DD"/>
    <w:rsid w:val="00186926"/>
    <w:rsid w:val="00186AF1"/>
    <w:rsid w:val="00186B8B"/>
    <w:rsid w:val="00186C00"/>
    <w:rsid w:val="00186C8B"/>
    <w:rsid w:val="00186D35"/>
    <w:rsid w:val="001870FC"/>
    <w:rsid w:val="0018786D"/>
    <w:rsid w:val="00187A3D"/>
    <w:rsid w:val="00187C37"/>
    <w:rsid w:val="00187C5E"/>
    <w:rsid w:val="0019050B"/>
    <w:rsid w:val="00190680"/>
    <w:rsid w:val="00191881"/>
    <w:rsid w:val="00191974"/>
    <w:rsid w:val="001920E6"/>
    <w:rsid w:val="0019237D"/>
    <w:rsid w:val="00192A75"/>
    <w:rsid w:val="00193361"/>
    <w:rsid w:val="00193429"/>
    <w:rsid w:val="0019364D"/>
    <w:rsid w:val="00193C18"/>
    <w:rsid w:val="00193D79"/>
    <w:rsid w:val="0019401E"/>
    <w:rsid w:val="0019440D"/>
    <w:rsid w:val="00194B5E"/>
    <w:rsid w:val="00195022"/>
    <w:rsid w:val="0019508B"/>
    <w:rsid w:val="00195136"/>
    <w:rsid w:val="0019542D"/>
    <w:rsid w:val="0019547A"/>
    <w:rsid w:val="00195688"/>
    <w:rsid w:val="00195A86"/>
    <w:rsid w:val="00195FF6"/>
    <w:rsid w:val="0019622E"/>
    <w:rsid w:val="00196321"/>
    <w:rsid w:val="0019639A"/>
    <w:rsid w:val="001965C3"/>
    <w:rsid w:val="00196800"/>
    <w:rsid w:val="001968F7"/>
    <w:rsid w:val="00196C77"/>
    <w:rsid w:val="00196CC8"/>
    <w:rsid w:val="00196EF6"/>
    <w:rsid w:val="00196F02"/>
    <w:rsid w:val="00197548"/>
    <w:rsid w:val="00197643"/>
    <w:rsid w:val="0019776B"/>
    <w:rsid w:val="00197ECC"/>
    <w:rsid w:val="001A00A9"/>
    <w:rsid w:val="001A0387"/>
    <w:rsid w:val="001A08D4"/>
    <w:rsid w:val="001A0E14"/>
    <w:rsid w:val="001A10E1"/>
    <w:rsid w:val="001A183B"/>
    <w:rsid w:val="001A1D82"/>
    <w:rsid w:val="001A23CA"/>
    <w:rsid w:val="001A27A8"/>
    <w:rsid w:val="001A343A"/>
    <w:rsid w:val="001A34C9"/>
    <w:rsid w:val="001A3620"/>
    <w:rsid w:val="001A397D"/>
    <w:rsid w:val="001A4524"/>
    <w:rsid w:val="001A4ABC"/>
    <w:rsid w:val="001A4AD5"/>
    <w:rsid w:val="001A4FEA"/>
    <w:rsid w:val="001A50FC"/>
    <w:rsid w:val="001A5158"/>
    <w:rsid w:val="001A5981"/>
    <w:rsid w:val="001A5C8A"/>
    <w:rsid w:val="001A5D0D"/>
    <w:rsid w:val="001A5F20"/>
    <w:rsid w:val="001A6119"/>
    <w:rsid w:val="001A623F"/>
    <w:rsid w:val="001A6355"/>
    <w:rsid w:val="001A657B"/>
    <w:rsid w:val="001A65A4"/>
    <w:rsid w:val="001A6764"/>
    <w:rsid w:val="001A68FA"/>
    <w:rsid w:val="001A7173"/>
    <w:rsid w:val="001A7290"/>
    <w:rsid w:val="001A7313"/>
    <w:rsid w:val="001A7407"/>
    <w:rsid w:val="001A76DF"/>
    <w:rsid w:val="001A7835"/>
    <w:rsid w:val="001A7B9C"/>
    <w:rsid w:val="001A7BFD"/>
    <w:rsid w:val="001A7F0B"/>
    <w:rsid w:val="001B0BAD"/>
    <w:rsid w:val="001B0D57"/>
    <w:rsid w:val="001B1040"/>
    <w:rsid w:val="001B154A"/>
    <w:rsid w:val="001B1F89"/>
    <w:rsid w:val="001B2143"/>
    <w:rsid w:val="001B2265"/>
    <w:rsid w:val="001B22AC"/>
    <w:rsid w:val="001B22DF"/>
    <w:rsid w:val="001B25EF"/>
    <w:rsid w:val="001B28A8"/>
    <w:rsid w:val="001B2A1B"/>
    <w:rsid w:val="001B2FD7"/>
    <w:rsid w:val="001B329B"/>
    <w:rsid w:val="001B3408"/>
    <w:rsid w:val="001B34B1"/>
    <w:rsid w:val="001B3F62"/>
    <w:rsid w:val="001B406C"/>
    <w:rsid w:val="001B4344"/>
    <w:rsid w:val="001B4726"/>
    <w:rsid w:val="001B47D0"/>
    <w:rsid w:val="001B484D"/>
    <w:rsid w:val="001B4995"/>
    <w:rsid w:val="001B4A43"/>
    <w:rsid w:val="001B4B52"/>
    <w:rsid w:val="001B4EFF"/>
    <w:rsid w:val="001B52A7"/>
    <w:rsid w:val="001B5540"/>
    <w:rsid w:val="001B5558"/>
    <w:rsid w:val="001B559F"/>
    <w:rsid w:val="001B55D2"/>
    <w:rsid w:val="001B570A"/>
    <w:rsid w:val="001B5A10"/>
    <w:rsid w:val="001B5AD2"/>
    <w:rsid w:val="001B653C"/>
    <w:rsid w:val="001B69B8"/>
    <w:rsid w:val="001B6AE0"/>
    <w:rsid w:val="001B6DE4"/>
    <w:rsid w:val="001B7443"/>
    <w:rsid w:val="001B76D7"/>
    <w:rsid w:val="001B786E"/>
    <w:rsid w:val="001B7C07"/>
    <w:rsid w:val="001B7FF1"/>
    <w:rsid w:val="001C08DD"/>
    <w:rsid w:val="001C0F62"/>
    <w:rsid w:val="001C13EB"/>
    <w:rsid w:val="001C1871"/>
    <w:rsid w:val="001C1A54"/>
    <w:rsid w:val="001C1B8B"/>
    <w:rsid w:val="001C1E87"/>
    <w:rsid w:val="001C1EC0"/>
    <w:rsid w:val="001C22A6"/>
    <w:rsid w:val="001C256E"/>
    <w:rsid w:val="001C2A4D"/>
    <w:rsid w:val="001C2C07"/>
    <w:rsid w:val="001C2D32"/>
    <w:rsid w:val="001C3263"/>
    <w:rsid w:val="001C332E"/>
    <w:rsid w:val="001C3A8A"/>
    <w:rsid w:val="001C3B5D"/>
    <w:rsid w:val="001C3EF4"/>
    <w:rsid w:val="001C4092"/>
    <w:rsid w:val="001C4A53"/>
    <w:rsid w:val="001C4C8A"/>
    <w:rsid w:val="001C4CA5"/>
    <w:rsid w:val="001C51C7"/>
    <w:rsid w:val="001C5A2B"/>
    <w:rsid w:val="001C5AD1"/>
    <w:rsid w:val="001C5D7D"/>
    <w:rsid w:val="001C5FDD"/>
    <w:rsid w:val="001C63F5"/>
    <w:rsid w:val="001C6669"/>
    <w:rsid w:val="001C67C2"/>
    <w:rsid w:val="001C6AC1"/>
    <w:rsid w:val="001C6CFD"/>
    <w:rsid w:val="001C6D03"/>
    <w:rsid w:val="001C6F0E"/>
    <w:rsid w:val="001C6F53"/>
    <w:rsid w:val="001C730A"/>
    <w:rsid w:val="001C7453"/>
    <w:rsid w:val="001C799A"/>
    <w:rsid w:val="001C7BBD"/>
    <w:rsid w:val="001C7F4C"/>
    <w:rsid w:val="001D018A"/>
    <w:rsid w:val="001D0529"/>
    <w:rsid w:val="001D0824"/>
    <w:rsid w:val="001D0865"/>
    <w:rsid w:val="001D0D9B"/>
    <w:rsid w:val="001D0EC3"/>
    <w:rsid w:val="001D1023"/>
    <w:rsid w:val="001D1BD1"/>
    <w:rsid w:val="001D1C8B"/>
    <w:rsid w:val="001D1FB0"/>
    <w:rsid w:val="001D2121"/>
    <w:rsid w:val="001D2152"/>
    <w:rsid w:val="001D25A7"/>
    <w:rsid w:val="001D2601"/>
    <w:rsid w:val="001D2645"/>
    <w:rsid w:val="001D27A8"/>
    <w:rsid w:val="001D28E7"/>
    <w:rsid w:val="001D28F7"/>
    <w:rsid w:val="001D2EEB"/>
    <w:rsid w:val="001D319E"/>
    <w:rsid w:val="001D354E"/>
    <w:rsid w:val="001D35F1"/>
    <w:rsid w:val="001D3853"/>
    <w:rsid w:val="001D442F"/>
    <w:rsid w:val="001D4782"/>
    <w:rsid w:val="001D4A4E"/>
    <w:rsid w:val="001D525E"/>
    <w:rsid w:val="001D5788"/>
    <w:rsid w:val="001D5B24"/>
    <w:rsid w:val="001D5B49"/>
    <w:rsid w:val="001D5E0C"/>
    <w:rsid w:val="001D5EB8"/>
    <w:rsid w:val="001D610C"/>
    <w:rsid w:val="001D63D6"/>
    <w:rsid w:val="001D666E"/>
    <w:rsid w:val="001D684A"/>
    <w:rsid w:val="001D6DDE"/>
    <w:rsid w:val="001D6FA9"/>
    <w:rsid w:val="001D7198"/>
    <w:rsid w:val="001D73B2"/>
    <w:rsid w:val="001D74D8"/>
    <w:rsid w:val="001D764C"/>
    <w:rsid w:val="001D7928"/>
    <w:rsid w:val="001E0992"/>
    <w:rsid w:val="001E0C22"/>
    <w:rsid w:val="001E10AD"/>
    <w:rsid w:val="001E122E"/>
    <w:rsid w:val="001E134D"/>
    <w:rsid w:val="001E1553"/>
    <w:rsid w:val="001E181D"/>
    <w:rsid w:val="001E1A2F"/>
    <w:rsid w:val="001E1A53"/>
    <w:rsid w:val="001E1EB8"/>
    <w:rsid w:val="001E207D"/>
    <w:rsid w:val="001E2801"/>
    <w:rsid w:val="001E2A5C"/>
    <w:rsid w:val="001E2B19"/>
    <w:rsid w:val="001E2F38"/>
    <w:rsid w:val="001E3505"/>
    <w:rsid w:val="001E37E3"/>
    <w:rsid w:val="001E3A2D"/>
    <w:rsid w:val="001E3AAC"/>
    <w:rsid w:val="001E4292"/>
    <w:rsid w:val="001E44FA"/>
    <w:rsid w:val="001E47B0"/>
    <w:rsid w:val="001E49BE"/>
    <w:rsid w:val="001E4C82"/>
    <w:rsid w:val="001E5035"/>
    <w:rsid w:val="001E5290"/>
    <w:rsid w:val="001E582A"/>
    <w:rsid w:val="001E5CDD"/>
    <w:rsid w:val="001E5FA5"/>
    <w:rsid w:val="001E6336"/>
    <w:rsid w:val="001E6413"/>
    <w:rsid w:val="001E66D3"/>
    <w:rsid w:val="001E6E8D"/>
    <w:rsid w:val="001E6F40"/>
    <w:rsid w:val="001E7272"/>
    <w:rsid w:val="001E7361"/>
    <w:rsid w:val="001E78F1"/>
    <w:rsid w:val="001E7E01"/>
    <w:rsid w:val="001E7E49"/>
    <w:rsid w:val="001F016A"/>
    <w:rsid w:val="001F082F"/>
    <w:rsid w:val="001F0C41"/>
    <w:rsid w:val="001F0FED"/>
    <w:rsid w:val="001F12DB"/>
    <w:rsid w:val="001F19D5"/>
    <w:rsid w:val="001F1A26"/>
    <w:rsid w:val="001F1B4E"/>
    <w:rsid w:val="001F1EC9"/>
    <w:rsid w:val="001F2052"/>
    <w:rsid w:val="001F2329"/>
    <w:rsid w:val="001F23DB"/>
    <w:rsid w:val="001F29E9"/>
    <w:rsid w:val="001F2C91"/>
    <w:rsid w:val="001F2D09"/>
    <w:rsid w:val="001F2E9A"/>
    <w:rsid w:val="001F31F7"/>
    <w:rsid w:val="001F33B1"/>
    <w:rsid w:val="001F35FC"/>
    <w:rsid w:val="001F380E"/>
    <w:rsid w:val="001F3F1F"/>
    <w:rsid w:val="001F415A"/>
    <w:rsid w:val="001F44C6"/>
    <w:rsid w:val="001F45CD"/>
    <w:rsid w:val="001F47B8"/>
    <w:rsid w:val="001F4D7E"/>
    <w:rsid w:val="001F5024"/>
    <w:rsid w:val="001F50F6"/>
    <w:rsid w:val="001F5220"/>
    <w:rsid w:val="001F577A"/>
    <w:rsid w:val="001F5EE2"/>
    <w:rsid w:val="001F6018"/>
    <w:rsid w:val="001F679C"/>
    <w:rsid w:val="001F67BE"/>
    <w:rsid w:val="001F6CC3"/>
    <w:rsid w:val="001F7032"/>
    <w:rsid w:val="001F78A5"/>
    <w:rsid w:val="001F7B80"/>
    <w:rsid w:val="002001AB"/>
    <w:rsid w:val="00200269"/>
    <w:rsid w:val="002003FF"/>
    <w:rsid w:val="00200871"/>
    <w:rsid w:val="00200AA4"/>
    <w:rsid w:val="00200D57"/>
    <w:rsid w:val="00200FD5"/>
    <w:rsid w:val="002013F0"/>
    <w:rsid w:val="002015D8"/>
    <w:rsid w:val="00201705"/>
    <w:rsid w:val="00201C42"/>
    <w:rsid w:val="0020229B"/>
    <w:rsid w:val="0020281F"/>
    <w:rsid w:val="00202AA1"/>
    <w:rsid w:val="00202B13"/>
    <w:rsid w:val="00202CA4"/>
    <w:rsid w:val="0020338A"/>
    <w:rsid w:val="00203D9B"/>
    <w:rsid w:val="00204002"/>
    <w:rsid w:val="00204083"/>
    <w:rsid w:val="002043AF"/>
    <w:rsid w:val="00204709"/>
    <w:rsid w:val="002052D7"/>
    <w:rsid w:val="00205725"/>
    <w:rsid w:val="00205C6E"/>
    <w:rsid w:val="00205EA0"/>
    <w:rsid w:val="00206799"/>
    <w:rsid w:val="002069CF"/>
    <w:rsid w:val="00207579"/>
    <w:rsid w:val="00207F2B"/>
    <w:rsid w:val="00210448"/>
    <w:rsid w:val="002105DE"/>
    <w:rsid w:val="0021081C"/>
    <w:rsid w:val="00210C57"/>
    <w:rsid w:val="00210EAA"/>
    <w:rsid w:val="0021128A"/>
    <w:rsid w:val="00211CC6"/>
    <w:rsid w:val="002120EE"/>
    <w:rsid w:val="002122A4"/>
    <w:rsid w:val="00212E4B"/>
    <w:rsid w:val="00212E70"/>
    <w:rsid w:val="00213EF1"/>
    <w:rsid w:val="0021410B"/>
    <w:rsid w:val="002144CE"/>
    <w:rsid w:val="002147EA"/>
    <w:rsid w:val="002148BB"/>
    <w:rsid w:val="002148CC"/>
    <w:rsid w:val="00214968"/>
    <w:rsid w:val="00215042"/>
    <w:rsid w:val="00215185"/>
    <w:rsid w:val="0021541E"/>
    <w:rsid w:val="002159BE"/>
    <w:rsid w:val="00215C8F"/>
    <w:rsid w:val="002167EF"/>
    <w:rsid w:val="00216934"/>
    <w:rsid w:val="00216B10"/>
    <w:rsid w:val="00216BCA"/>
    <w:rsid w:val="00216D3A"/>
    <w:rsid w:val="0021709E"/>
    <w:rsid w:val="00217572"/>
    <w:rsid w:val="0021758F"/>
    <w:rsid w:val="00217776"/>
    <w:rsid w:val="002178B1"/>
    <w:rsid w:val="002179EB"/>
    <w:rsid w:val="00217A01"/>
    <w:rsid w:val="00217BC3"/>
    <w:rsid w:val="00220545"/>
    <w:rsid w:val="00220890"/>
    <w:rsid w:val="00220929"/>
    <w:rsid w:val="00220BDA"/>
    <w:rsid w:val="00220E7B"/>
    <w:rsid w:val="00221097"/>
    <w:rsid w:val="00221EB6"/>
    <w:rsid w:val="002224BB"/>
    <w:rsid w:val="00222B36"/>
    <w:rsid w:val="00222B8D"/>
    <w:rsid w:val="00222D4A"/>
    <w:rsid w:val="0022302F"/>
    <w:rsid w:val="0022318A"/>
    <w:rsid w:val="00223284"/>
    <w:rsid w:val="002233D1"/>
    <w:rsid w:val="0022386A"/>
    <w:rsid w:val="00223BEE"/>
    <w:rsid w:val="00223D78"/>
    <w:rsid w:val="00223FD5"/>
    <w:rsid w:val="00224033"/>
    <w:rsid w:val="00224275"/>
    <w:rsid w:val="00224340"/>
    <w:rsid w:val="0022479E"/>
    <w:rsid w:val="00224BBF"/>
    <w:rsid w:val="00224CDB"/>
    <w:rsid w:val="002253E9"/>
    <w:rsid w:val="00225777"/>
    <w:rsid w:val="002259B4"/>
    <w:rsid w:val="00225AC6"/>
    <w:rsid w:val="002260BC"/>
    <w:rsid w:val="002266B9"/>
    <w:rsid w:val="002268AD"/>
    <w:rsid w:val="00226D23"/>
    <w:rsid w:val="00227878"/>
    <w:rsid w:val="00227A3A"/>
    <w:rsid w:val="002304DF"/>
    <w:rsid w:val="00230A36"/>
    <w:rsid w:val="002315C1"/>
    <w:rsid w:val="00231626"/>
    <w:rsid w:val="00231880"/>
    <w:rsid w:val="00231980"/>
    <w:rsid w:val="00231D71"/>
    <w:rsid w:val="002323A7"/>
    <w:rsid w:val="00232686"/>
    <w:rsid w:val="00233619"/>
    <w:rsid w:val="002337F6"/>
    <w:rsid w:val="002337FF"/>
    <w:rsid w:val="00233E82"/>
    <w:rsid w:val="002343F1"/>
    <w:rsid w:val="00234400"/>
    <w:rsid w:val="00234779"/>
    <w:rsid w:val="002347C1"/>
    <w:rsid w:val="00234921"/>
    <w:rsid w:val="00234FF5"/>
    <w:rsid w:val="002352D2"/>
    <w:rsid w:val="00235721"/>
    <w:rsid w:val="00235874"/>
    <w:rsid w:val="00235A9F"/>
    <w:rsid w:val="00235B0D"/>
    <w:rsid w:val="00235B84"/>
    <w:rsid w:val="00235C02"/>
    <w:rsid w:val="00235D3E"/>
    <w:rsid w:val="00236414"/>
    <w:rsid w:val="00236831"/>
    <w:rsid w:val="0023692A"/>
    <w:rsid w:val="00237154"/>
    <w:rsid w:val="002374D3"/>
    <w:rsid w:val="00237758"/>
    <w:rsid w:val="00237770"/>
    <w:rsid w:val="00237C54"/>
    <w:rsid w:val="00237E58"/>
    <w:rsid w:val="00237E91"/>
    <w:rsid w:val="002401A2"/>
    <w:rsid w:val="002402BE"/>
    <w:rsid w:val="002406FB"/>
    <w:rsid w:val="0024073F"/>
    <w:rsid w:val="00240B8D"/>
    <w:rsid w:val="002411AA"/>
    <w:rsid w:val="002411DC"/>
    <w:rsid w:val="0024122C"/>
    <w:rsid w:val="0024153C"/>
    <w:rsid w:val="0024192B"/>
    <w:rsid w:val="00241C05"/>
    <w:rsid w:val="0024219C"/>
    <w:rsid w:val="00242279"/>
    <w:rsid w:val="0024266C"/>
    <w:rsid w:val="002426B1"/>
    <w:rsid w:val="0024276A"/>
    <w:rsid w:val="0024284F"/>
    <w:rsid w:val="00242969"/>
    <w:rsid w:val="00242974"/>
    <w:rsid w:val="00242B42"/>
    <w:rsid w:val="00243040"/>
    <w:rsid w:val="00243567"/>
    <w:rsid w:val="002435AD"/>
    <w:rsid w:val="00244146"/>
    <w:rsid w:val="002444A6"/>
    <w:rsid w:val="00244A50"/>
    <w:rsid w:val="00244A85"/>
    <w:rsid w:val="00244A9A"/>
    <w:rsid w:val="002452F3"/>
    <w:rsid w:val="00245421"/>
    <w:rsid w:val="0024545A"/>
    <w:rsid w:val="00245A54"/>
    <w:rsid w:val="00245CA1"/>
    <w:rsid w:val="00245DA5"/>
    <w:rsid w:val="0024653A"/>
    <w:rsid w:val="002467BA"/>
    <w:rsid w:val="00246906"/>
    <w:rsid w:val="00246DBF"/>
    <w:rsid w:val="00247283"/>
    <w:rsid w:val="002472A2"/>
    <w:rsid w:val="0024777B"/>
    <w:rsid w:val="002478B4"/>
    <w:rsid w:val="00247A3B"/>
    <w:rsid w:val="00250205"/>
    <w:rsid w:val="0025060F"/>
    <w:rsid w:val="00250C0B"/>
    <w:rsid w:val="00250D7F"/>
    <w:rsid w:val="00251209"/>
    <w:rsid w:val="00251398"/>
    <w:rsid w:val="0025149A"/>
    <w:rsid w:val="00251716"/>
    <w:rsid w:val="00251CF6"/>
    <w:rsid w:val="002522AE"/>
    <w:rsid w:val="00252654"/>
    <w:rsid w:val="00252B05"/>
    <w:rsid w:val="00252B0A"/>
    <w:rsid w:val="00252F39"/>
    <w:rsid w:val="002531AB"/>
    <w:rsid w:val="0025321B"/>
    <w:rsid w:val="00253609"/>
    <w:rsid w:val="002536E8"/>
    <w:rsid w:val="00253DC4"/>
    <w:rsid w:val="0025487A"/>
    <w:rsid w:val="00254C50"/>
    <w:rsid w:val="00255C86"/>
    <w:rsid w:val="00255E69"/>
    <w:rsid w:val="002560C6"/>
    <w:rsid w:val="00256266"/>
    <w:rsid w:val="00256444"/>
    <w:rsid w:val="002571AD"/>
    <w:rsid w:val="002575A6"/>
    <w:rsid w:val="00257D40"/>
    <w:rsid w:val="00257E36"/>
    <w:rsid w:val="00260248"/>
    <w:rsid w:val="00260507"/>
    <w:rsid w:val="00260E56"/>
    <w:rsid w:val="00260FAF"/>
    <w:rsid w:val="002613DD"/>
    <w:rsid w:val="00261C3F"/>
    <w:rsid w:val="00261E11"/>
    <w:rsid w:val="00261E50"/>
    <w:rsid w:val="00262129"/>
    <w:rsid w:val="00262917"/>
    <w:rsid w:val="00262EBC"/>
    <w:rsid w:val="0026316B"/>
    <w:rsid w:val="00263295"/>
    <w:rsid w:val="002636C6"/>
    <w:rsid w:val="002638F0"/>
    <w:rsid w:val="00263AD7"/>
    <w:rsid w:val="00263E42"/>
    <w:rsid w:val="00263EDB"/>
    <w:rsid w:val="0026417A"/>
    <w:rsid w:val="002641AC"/>
    <w:rsid w:val="002642D3"/>
    <w:rsid w:val="00264428"/>
    <w:rsid w:val="00264C48"/>
    <w:rsid w:val="00265202"/>
    <w:rsid w:val="00265215"/>
    <w:rsid w:val="00265B3E"/>
    <w:rsid w:val="00265E6F"/>
    <w:rsid w:val="00266108"/>
    <w:rsid w:val="002663AB"/>
    <w:rsid w:val="002663E0"/>
    <w:rsid w:val="002665FC"/>
    <w:rsid w:val="00266E2B"/>
    <w:rsid w:val="00266F26"/>
    <w:rsid w:val="00266FAD"/>
    <w:rsid w:val="00267238"/>
    <w:rsid w:val="0026730B"/>
    <w:rsid w:val="00267E43"/>
    <w:rsid w:val="00267EBD"/>
    <w:rsid w:val="00267FEC"/>
    <w:rsid w:val="00270309"/>
    <w:rsid w:val="002705FC"/>
    <w:rsid w:val="002706BB"/>
    <w:rsid w:val="00270D38"/>
    <w:rsid w:val="0027144A"/>
    <w:rsid w:val="00271469"/>
    <w:rsid w:val="002715EF"/>
    <w:rsid w:val="002717F6"/>
    <w:rsid w:val="00271968"/>
    <w:rsid w:val="00271A2E"/>
    <w:rsid w:val="00271B37"/>
    <w:rsid w:val="00271BAC"/>
    <w:rsid w:val="002723DE"/>
    <w:rsid w:val="00272B78"/>
    <w:rsid w:val="00272DC1"/>
    <w:rsid w:val="00273013"/>
    <w:rsid w:val="002740E7"/>
    <w:rsid w:val="0027422D"/>
    <w:rsid w:val="002745FB"/>
    <w:rsid w:val="00274996"/>
    <w:rsid w:val="00274D31"/>
    <w:rsid w:val="002751D4"/>
    <w:rsid w:val="0027558D"/>
    <w:rsid w:val="002759A0"/>
    <w:rsid w:val="002763D8"/>
    <w:rsid w:val="00276598"/>
    <w:rsid w:val="002765A0"/>
    <w:rsid w:val="002768DC"/>
    <w:rsid w:val="00276DDF"/>
    <w:rsid w:val="00276F55"/>
    <w:rsid w:val="00277500"/>
    <w:rsid w:val="002776C8"/>
    <w:rsid w:val="0028011E"/>
    <w:rsid w:val="00280500"/>
    <w:rsid w:val="0028083C"/>
    <w:rsid w:val="00280AC7"/>
    <w:rsid w:val="00280F39"/>
    <w:rsid w:val="002814C8"/>
    <w:rsid w:val="0028181F"/>
    <w:rsid w:val="00281885"/>
    <w:rsid w:val="00281AC9"/>
    <w:rsid w:val="00281B8B"/>
    <w:rsid w:val="0028258C"/>
    <w:rsid w:val="00282897"/>
    <w:rsid w:val="00282988"/>
    <w:rsid w:val="00282A73"/>
    <w:rsid w:val="00282E7C"/>
    <w:rsid w:val="00282F9F"/>
    <w:rsid w:val="00282FFE"/>
    <w:rsid w:val="00283077"/>
    <w:rsid w:val="00283159"/>
    <w:rsid w:val="002833DB"/>
    <w:rsid w:val="002837A7"/>
    <w:rsid w:val="00283A32"/>
    <w:rsid w:val="00283FD3"/>
    <w:rsid w:val="00284040"/>
    <w:rsid w:val="002844AE"/>
    <w:rsid w:val="002844C7"/>
    <w:rsid w:val="002845F7"/>
    <w:rsid w:val="00284875"/>
    <w:rsid w:val="00284A74"/>
    <w:rsid w:val="00284B3A"/>
    <w:rsid w:val="002851B5"/>
    <w:rsid w:val="002852AF"/>
    <w:rsid w:val="002853C1"/>
    <w:rsid w:val="00285718"/>
    <w:rsid w:val="00285778"/>
    <w:rsid w:val="00285D04"/>
    <w:rsid w:val="00285D4D"/>
    <w:rsid w:val="0028640A"/>
    <w:rsid w:val="00286466"/>
    <w:rsid w:val="002867FE"/>
    <w:rsid w:val="00286A8A"/>
    <w:rsid w:val="00286B54"/>
    <w:rsid w:val="00286CD8"/>
    <w:rsid w:val="00286CF6"/>
    <w:rsid w:val="00286FAB"/>
    <w:rsid w:val="00287C8F"/>
    <w:rsid w:val="00287CFD"/>
    <w:rsid w:val="00290402"/>
    <w:rsid w:val="00290444"/>
    <w:rsid w:val="00290971"/>
    <w:rsid w:val="00290F80"/>
    <w:rsid w:val="00291ED6"/>
    <w:rsid w:val="0029209E"/>
    <w:rsid w:val="002927C3"/>
    <w:rsid w:val="00292B0C"/>
    <w:rsid w:val="00292CE8"/>
    <w:rsid w:val="00293064"/>
    <w:rsid w:val="00293076"/>
    <w:rsid w:val="00293359"/>
    <w:rsid w:val="00293677"/>
    <w:rsid w:val="00293699"/>
    <w:rsid w:val="002936ED"/>
    <w:rsid w:val="00293C72"/>
    <w:rsid w:val="00293CF0"/>
    <w:rsid w:val="0029439B"/>
    <w:rsid w:val="0029443C"/>
    <w:rsid w:val="00294817"/>
    <w:rsid w:val="0029488E"/>
    <w:rsid w:val="00294911"/>
    <w:rsid w:val="00294E26"/>
    <w:rsid w:val="002952D0"/>
    <w:rsid w:val="002952F9"/>
    <w:rsid w:val="0029553D"/>
    <w:rsid w:val="00295921"/>
    <w:rsid w:val="00295A51"/>
    <w:rsid w:val="00295D28"/>
    <w:rsid w:val="00295DF1"/>
    <w:rsid w:val="00296607"/>
    <w:rsid w:val="002967B4"/>
    <w:rsid w:val="00296841"/>
    <w:rsid w:val="0029686B"/>
    <w:rsid w:val="0029726D"/>
    <w:rsid w:val="002975AA"/>
    <w:rsid w:val="002976D5"/>
    <w:rsid w:val="002A00E1"/>
    <w:rsid w:val="002A0191"/>
    <w:rsid w:val="002A033F"/>
    <w:rsid w:val="002A056C"/>
    <w:rsid w:val="002A05E3"/>
    <w:rsid w:val="002A07EE"/>
    <w:rsid w:val="002A082B"/>
    <w:rsid w:val="002A0DA8"/>
    <w:rsid w:val="002A104D"/>
    <w:rsid w:val="002A1E92"/>
    <w:rsid w:val="002A1F88"/>
    <w:rsid w:val="002A2085"/>
    <w:rsid w:val="002A21B5"/>
    <w:rsid w:val="002A23BF"/>
    <w:rsid w:val="002A2585"/>
    <w:rsid w:val="002A334C"/>
    <w:rsid w:val="002A34C8"/>
    <w:rsid w:val="002A36F0"/>
    <w:rsid w:val="002A3A3F"/>
    <w:rsid w:val="002A3C03"/>
    <w:rsid w:val="002A465C"/>
    <w:rsid w:val="002A4D4C"/>
    <w:rsid w:val="002A513D"/>
    <w:rsid w:val="002A51C4"/>
    <w:rsid w:val="002A5366"/>
    <w:rsid w:val="002A5C8B"/>
    <w:rsid w:val="002A5FC2"/>
    <w:rsid w:val="002A61C3"/>
    <w:rsid w:val="002A686A"/>
    <w:rsid w:val="002A69B3"/>
    <w:rsid w:val="002A6A35"/>
    <w:rsid w:val="002A74E3"/>
    <w:rsid w:val="002A7660"/>
    <w:rsid w:val="002B02F3"/>
    <w:rsid w:val="002B080E"/>
    <w:rsid w:val="002B0D0B"/>
    <w:rsid w:val="002B0E7B"/>
    <w:rsid w:val="002B10EC"/>
    <w:rsid w:val="002B11B1"/>
    <w:rsid w:val="002B1658"/>
    <w:rsid w:val="002B1B73"/>
    <w:rsid w:val="002B20B1"/>
    <w:rsid w:val="002B2EB2"/>
    <w:rsid w:val="002B319A"/>
    <w:rsid w:val="002B380D"/>
    <w:rsid w:val="002B401F"/>
    <w:rsid w:val="002B43A6"/>
    <w:rsid w:val="002B445A"/>
    <w:rsid w:val="002B45DB"/>
    <w:rsid w:val="002B4667"/>
    <w:rsid w:val="002B4CB4"/>
    <w:rsid w:val="002B4EC8"/>
    <w:rsid w:val="002B4F0C"/>
    <w:rsid w:val="002B4F3A"/>
    <w:rsid w:val="002B5388"/>
    <w:rsid w:val="002B5774"/>
    <w:rsid w:val="002B57D8"/>
    <w:rsid w:val="002B58E0"/>
    <w:rsid w:val="002B5E81"/>
    <w:rsid w:val="002B65C0"/>
    <w:rsid w:val="002B69D8"/>
    <w:rsid w:val="002B6B64"/>
    <w:rsid w:val="002B6DA7"/>
    <w:rsid w:val="002B7099"/>
    <w:rsid w:val="002B75DF"/>
    <w:rsid w:val="002B7B75"/>
    <w:rsid w:val="002C04D9"/>
    <w:rsid w:val="002C0C83"/>
    <w:rsid w:val="002C0E3A"/>
    <w:rsid w:val="002C1266"/>
    <w:rsid w:val="002C140A"/>
    <w:rsid w:val="002C14EB"/>
    <w:rsid w:val="002C17D3"/>
    <w:rsid w:val="002C1BE2"/>
    <w:rsid w:val="002C21B3"/>
    <w:rsid w:val="002C24E5"/>
    <w:rsid w:val="002C2673"/>
    <w:rsid w:val="002C2D6B"/>
    <w:rsid w:val="002C2DA3"/>
    <w:rsid w:val="002C2E8D"/>
    <w:rsid w:val="002C2FE8"/>
    <w:rsid w:val="002C34D3"/>
    <w:rsid w:val="002C3871"/>
    <w:rsid w:val="002C3987"/>
    <w:rsid w:val="002C3B86"/>
    <w:rsid w:val="002C3C38"/>
    <w:rsid w:val="002C3D74"/>
    <w:rsid w:val="002C468C"/>
    <w:rsid w:val="002C47CE"/>
    <w:rsid w:val="002C4FE1"/>
    <w:rsid w:val="002C54A3"/>
    <w:rsid w:val="002C57B6"/>
    <w:rsid w:val="002C5A59"/>
    <w:rsid w:val="002C5D6D"/>
    <w:rsid w:val="002C6383"/>
    <w:rsid w:val="002C6566"/>
    <w:rsid w:val="002C6873"/>
    <w:rsid w:val="002C720F"/>
    <w:rsid w:val="002C7565"/>
    <w:rsid w:val="002C7623"/>
    <w:rsid w:val="002C7802"/>
    <w:rsid w:val="002C79B7"/>
    <w:rsid w:val="002C7C76"/>
    <w:rsid w:val="002D0004"/>
    <w:rsid w:val="002D0263"/>
    <w:rsid w:val="002D05F1"/>
    <w:rsid w:val="002D0690"/>
    <w:rsid w:val="002D07EA"/>
    <w:rsid w:val="002D0853"/>
    <w:rsid w:val="002D088E"/>
    <w:rsid w:val="002D0AB1"/>
    <w:rsid w:val="002D0DB0"/>
    <w:rsid w:val="002D1A0C"/>
    <w:rsid w:val="002D1B66"/>
    <w:rsid w:val="002D1B80"/>
    <w:rsid w:val="002D1C89"/>
    <w:rsid w:val="002D1EF0"/>
    <w:rsid w:val="002D200E"/>
    <w:rsid w:val="002D20C5"/>
    <w:rsid w:val="002D2239"/>
    <w:rsid w:val="002D29F5"/>
    <w:rsid w:val="002D2F30"/>
    <w:rsid w:val="002D3180"/>
    <w:rsid w:val="002D3234"/>
    <w:rsid w:val="002D396E"/>
    <w:rsid w:val="002D39EE"/>
    <w:rsid w:val="002D3BCF"/>
    <w:rsid w:val="002D3C14"/>
    <w:rsid w:val="002D43DB"/>
    <w:rsid w:val="002D446C"/>
    <w:rsid w:val="002D4865"/>
    <w:rsid w:val="002D4900"/>
    <w:rsid w:val="002D4AD2"/>
    <w:rsid w:val="002D4FAE"/>
    <w:rsid w:val="002D5435"/>
    <w:rsid w:val="002D570F"/>
    <w:rsid w:val="002D5979"/>
    <w:rsid w:val="002D6386"/>
    <w:rsid w:val="002D6E89"/>
    <w:rsid w:val="002D7237"/>
    <w:rsid w:val="002D725D"/>
    <w:rsid w:val="002D770A"/>
    <w:rsid w:val="002D7819"/>
    <w:rsid w:val="002D7924"/>
    <w:rsid w:val="002D7A42"/>
    <w:rsid w:val="002D7AD0"/>
    <w:rsid w:val="002D7BC7"/>
    <w:rsid w:val="002E0398"/>
    <w:rsid w:val="002E0C09"/>
    <w:rsid w:val="002E0D5A"/>
    <w:rsid w:val="002E0D5B"/>
    <w:rsid w:val="002E10BB"/>
    <w:rsid w:val="002E12ED"/>
    <w:rsid w:val="002E13D2"/>
    <w:rsid w:val="002E180A"/>
    <w:rsid w:val="002E1C10"/>
    <w:rsid w:val="002E1CFA"/>
    <w:rsid w:val="002E21DD"/>
    <w:rsid w:val="002E26AB"/>
    <w:rsid w:val="002E295D"/>
    <w:rsid w:val="002E2AF5"/>
    <w:rsid w:val="002E2D61"/>
    <w:rsid w:val="002E2E28"/>
    <w:rsid w:val="002E30FD"/>
    <w:rsid w:val="002E3194"/>
    <w:rsid w:val="002E3400"/>
    <w:rsid w:val="002E3663"/>
    <w:rsid w:val="002E3CC1"/>
    <w:rsid w:val="002E3FA1"/>
    <w:rsid w:val="002E472A"/>
    <w:rsid w:val="002E49EE"/>
    <w:rsid w:val="002E4A62"/>
    <w:rsid w:val="002E4BA6"/>
    <w:rsid w:val="002E5224"/>
    <w:rsid w:val="002E54F4"/>
    <w:rsid w:val="002E5524"/>
    <w:rsid w:val="002E5A3A"/>
    <w:rsid w:val="002E5E74"/>
    <w:rsid w:val="002E620E"/>
    <w:rsid w:val="002E636B"/>
    <w:rsid w:val="002E678F"/>
    <w:rsid w:val="002E6C9F"/>
    <w:rsid w:val="002E729D"/>
    <w:rsid w:val="002E75E8"/>
    <w:rsid w:val="002E780E"/>
    <w:rsid w:val="002E78C8"/>
    <w:rsid w:val="002E7D8F"/>
    <w:rsid w:val="002F005F"/>
    <w:rsid w:val="002F02CB"/>
    <w:rsid w:val="002F0569"/>
    <w:rsid w:val="002F07F9"/>
    <w:rsid w:val="002F0AD4"/>
    <w:rsid w:val="002F0E15"/>
    <w:rsid w:val="002F1482"/>
    <w:rsid w:val="002F14B2"/>
    <w:rsid w:val="002F19DF"/>
    <w:rsid w:val="002F1ADB"/>
    <w:rsid w:val="002F1CA1"/>
    <w:rsid w:val="002F273D"/>
    <w:rsid w:val="002F28CE"/>
    <w:rsid w:val="002F28EC"/>
    <w:rsid w:val="002F2BAF"/>
    <w:rsid w:val="002F2BE9"/>
    <w:rsid w:val="002F30CE"/>
    <w:rsid w:val="002F3126"/>
    <w:rsid w:val="002F31E4"/>
    <w:rsid w:val="002F3579"/>
    <w:rsid w:val="002F40E7"/>
    <w:rsid w:val="002F4130"/>
    <w:rsid w:val="002F4303"/>
    <w:rsid w:val="002F434D"/>
    <w:rsid w:val="002F4670"/>
    <w:rsid w:val="002F491A"/>
    <w:rsid w:val="002F4B0F"/>
    <w:rsid w:val="002F526C"/>
    <w:rsid w:val="002F53AD"/>
    <w:rsid w:val="002F5564"/>
    <w:rsid w:val="002F5716"/>
    <w:rsid w:val="002F58EF"/>
    <w:rsid w:val="002F5C07"/>
    <w:rsid w:val="002F5CA8"/>
    <w:rsid w:val="002F601B"/>
    <w:rsid w:val="002F68A0"/>
    <w:rsid w:val="002F6CA5"/>
    <w:rsid w:val="002F7226"/>
    <w:rsid w:val="002F78DE"/>
    <w:rsid w:val="00300607"/>
    <w:rsid w:val="003006E2"/>
    <w:rsid w:val="00300BD5"/>
    <w:rsid w:val="00300DBC"/>
    <w:rsid w:val="00300F04"/>
    <w:rsid w:val="003011FB"/>
    <w:rsid w:val="00301978"/>
    <w:rsid w:val="00302966"/>
    <w:rsid w:val="00302E9C"/>
    <w:rsid w:val="003038DB"/>
    <w:rsid w:val="00303D02"/>
    <w:rsid w:val="00303EEE"/>
    <w:rsid w:val="00304687"/>
    <w:rsid w:val="00304702"/>
    <w:rsid w:val="0030495F"/>
    <w:rsid w:val="00304B5E"/>
    <w:rsid w:val="003052A7"/>
    <w:rsid w:val="003053F0"/>
    <w:rsid w:val="003056B1"/>
    <w:rsid w:val="0030595A"/>
    <w:rsid w:val="00305EBF"/>
    <w:rsid w:val="00305F25"/>
    <w:rsid w:val="00305F26"/>
    <w:rsid w:val="00305FB9"/>
    <w:rsid w:val="0030628C"/>
    <w:rsid w:val="0030652C"/>
    <w:rsid w:val="00306B4E"/>
    <w:rsid w:val="00306D06"/>
    <w:rsid w:val="00306F21"/>
    <w:rsid w:val="003071A7"/>
    <w:rsid w:val="0030749A"/>
    <w:rsid w:val="00307A17"/>
    <w:rsid w:val="00307B58"/>
    <w:rsid w:val="003100FD"/>
    <w:rsid w:val="00310D03"/>
    <w:rsid w:val="00310EE8"/>
    <w:rsid w:val="003111E5"/>
    <w:rsid w:val="0031122B"/>
    <w:rsid w:val="00311329"/>
    <w:rsid w:val="0031164B"/>
    <w:rsid w:val="0031164E"/>
    <w:rsid w:val="003116C6"/>
    <w:rsid w:val="00311730"/>
    <w:rsid w:val="00311B27"/>
    <w:rsid w:val="00311E01"/>
    <w:rsid w:val="003123AD"/>
    <w:rsid w:val="00312529"/>
    <w:rsid w:val="003127D8"/>
    <w:rsid w:val="0031299B"/>
    <w:rsid w:val="00312D89"/>
    <w:rsid w:val="00312DF3"/>
    <w:rsid w:val="003130BD"/>
    <w:rsid w:val="003130C0"/>
    <w:rsid w:val="0031316E"/>
    <w:rsid w:val="00313435"/>
    <w:rsid w:val="0031365D"/>
    <w:rsid w:val="00313941"/>
    <w:rsid w:val="003140F5"/>
    <w:rsid w:val="00314169"/>
    <w:rsid w:val="003142A1"/>
    <w:rsid w:val="00314947"/>
    <w:rsid w:val="00314A90"/>
    <w:rsid w:val="00314DA5"/>
    <w:rsid w:val="00314E16"/>
    <w:rsid w:val="00314F7B"/>
    <w:rsid w:val="00315183"/>
    <w:rsid w:val="00315302"/>
    <w:rsid w:val="00315501"/>
    <w:rsid w:val="00315607"/>
    <w:rsid w:val="00315645"/>
    <w:rsid w:val="003159A0"/>
    <w:rsid w:val="00315D6D"/>
    <w:rsid w:val="00315EC5"/>
    <w:rsid w:val="00316753"/>
    <w:rsid w:val="003169E6"/>
    <w:rsid w:val="00316A02"/>
    <w:rsid w:val="00316DF3"/>
    <w:rsid w:val="00317056"/>
    <w:rsid w:val="003171FF"/>
    <w:rsid w:val="00317507"/>
    <w:rsid w:val="0031757F"/>
    <w:rsid w:val="0031775D"/>
    <w:rsid w:val="0031777E"/>
    <w:rsid w:val="00317A62"/>
    <w:rsid w:val="003201A7"/>
    <w:rsid w:val="003206F3"/>
    <w:rsid w:val="0032091A"/>
    <w:rsid w:val="003209EA"/>
    <w:rsid w:val="00321B67"/>
    <w:rsid w:val="00321D06"/>
    <w:rsid w:val="00321D3A"/>
    <w:rsid w:val="00321E4B"/>
    <w:rsid w:val="00321FB2"/>
    <w:rsid w:val="003221BE"/>
    <w:rsid w:val="0032294D"/>
    <w:rsid w:val="003229FE"/>
    <w:rsid w:val="00322ACD"/>
    <w:rsid w:val="00322F9D"/>
    <w:rsid w:val="00323206"/>
    <w:rsid w:val="003232CE"/>
    <w:rsid w:val="0032366F"/>
    <w:rsid w:val="003236CA"/>
    <w:rsid w:val="00323872"/>
    <w:rsid w:val="00323DF7"/>
    <w:rsid w:val="00324474"/>
    <w:rsid w:val="00324533"/>
    <w:rsid w:val="00324DE7"/>
    <w:rsid w:val="0032507C"/>
    <w:rsid w:val="003251EC"/>
    <w:rsid w:val="00325362"/>
    <w:rsid w:val="0032549D"/>
    <w:rsid w:val="003258E1"/>
    <w:rsid w:val="00325E9E"/>
    <w:rsid w:val="0032671F"/>
    <w:rsid w:val="003269CE"/>
    <w:rsid w:val="003269E3"/>
    <w:rsid w:val="00326C66"/>
    <w:rsid w:val="00327010"/>
    <w:rsid w:val="00327130"/>
    <w:rsid w:val="00327316"/>
    <w:rsid w:val="00327347"/>
    <w:rsid w:val="003274C7"/>
    <w:rsid w:val="003275AC"/>
    <w:rsid w:val="00327AEE"/>
    <w:rsid w:val="00327FAE"/>
    <w:rsid w:val="003303FC"/>
    <w:rsid w:val="00330947"/>
    <w:rsid w:val="00330A8E"/>
    <w:rsid w:val="00330BB7"/>
    <w:rsid w:val="00330CC5"/>
    <w:rsid w:val="00331344"/>
    <w:rsid w:val="003317AA"/>
    <w:rsid w:val="00332058"/>
    <w:rsid w:val="003322FA"/>
    <w:rsid w:val="003324DD"/>
    <w:rsid w:val="003329F0"/>
    <w:rsid w:val="00332B14"/>
    <w:rsid w:val="00332FD8"/>
    <w:rsid w:val="0033310B"/>
    <w:rsid w:val="00333567"/>
    <w:rsid w:val="003336F9"/>
    <w:rsid w:val="00333751"/>
    <w:rsid w:val="00333A97"/>
    <w:rsid w:val="00333C55"/>
    <w:rsid w:val="003343A0"/>
    <w:rsid w:val="003344FF"/>
    <w:rsid w:val="003345E4"/>
    <w:rsid w:val="00334950"/>
    <w:rsid w:val="00334ED0"/>
    <w:rsid w:val="00335216"/>
    <w:rsid w:val="00335756"/>
    <w:rsid w:val="00335788"/>
    <w:rsid w:val="00335BEE"/>
    <w:rsid w:val="00335C19"/>
    <w:rsid w:val="00335D8F"/>
    <w:rsid w:val="00335FBA"/>
    <w:rsid w:val="003362A6"/>
    <w:rsid w:val="003365DA"/>
    <w:rsid w:val="003365ED"/>
    <w:rsid w:val="003372DA"/>
    <w:rsid w:val="003375B5"/>
    <w:rsid w:val="00337763"/>
    <w:rsid w:val="00337855"/>
    <w:rsid w:val="00337B9A"/>
    <w:rsid w:val="00337C6A"/>
    <w:rsid w:val="00337E55"/>
    <w:rsid w:val="00337FC4"/>
    <w:rsid w:val="00340E3B"/>
    <w:rsid w:val="0034129D"/>
    <w:rsid w:val="00341891"/>
    <w:rsid w:val="00341B8E"/>
    <w:rsid w:val="00342B6D"/>
    <w:rsid w:val="003432CB"/>
    <w:rsid w:val="003438DD"/>
    <w:rsid w:val="0034393A"/>
    <w:rsid w:val="0034398E"/>
    <w:rsid w:val="00343D5B"/>
    <w:rsid w:val="00343D6C"/>
    <w:rsid w:val="00344350"/>
    <w:rsid w:val="0034534B"/>
    <w:rsid w:val="00345399"/>
    <w:rsid w:val="003460A9"/>
    <w:rsid w:val="003460E6"/>
    <w:rsid w:val="003466E1"/>
    <w:rsid w:val="00347DEE"/>
    <w:rsid w:val="00347EF6"/>
    <w:rsid w:val="003501A2"/>
    <w:rsid w:val="003505BB"/>
    <w:rsid w:val="00350C37"/>
    <w:rsid w:val="00350C9D"/>
    <w:rsid w:val="00350CF5"/>
    <w:rsid w:val="00350E2B"/>
    <w:rsid w:val="00351190"/>
    <w:rsid w:val="00351641"/>
    <w:rsid w:val="003516F9"/>
    <w:rsid w:val="00351872"/>
    <w:rsid w:val="00351DAE"/>
    <w:rsid w:val="00351F51"/>
    <w:rsid w:val="003521AE"/>
    <w:rsid w:val="003527AF"/>
    <w:rsid w:val="00352A40"/>
    <w:rsid w:val="00352A91"/>
    <w:rsid w:val="00352ADB"/>
    <w:rsid w:val="00352B03"/>
    <w:rsid w:val="00352B16"/>
    <w:rsid w:val="00352B72"/>
    <w:rsid w:val="00352BAE"/>
    <w:rsid w:val="00352E3F"/>
    <w:rsid w:val="00352E91"/>
    <w:rsid w:val="0035301D"/>
    <w:rsid w:val="003530B7"/>
    <w:rsid w:val="0035339D"/>
    <w:rsid w:val="0035348B"/>
    <w:rsid w:val="0035358C"/>
    <w:rsid w:val="00353926"/>
    <w:rsid w:val="00353936"/>
    <w:rsid w:val="003542E6"/>
    <w:rsid w:val="003543DA"/>
    <w:rsid w:val="003547CC"/>
    <w:rsid w:val="00354A29"/>
    <w:rsid w:val="00354A62"/>
    <w:rsid w:val="00354D95"/>
    <w:rsid w:val="00354EAE"/>
    <w:rsid w:val="00354EC4"/>
    <w:rsid w:val="00354ED9"/>
    <w:rsid w:val="00355167"/>
    <w:rsid w:val="00355175"/>
    <w:rsid w:val="003552FF"/>
    <w:rsid w:val="003553C2"/>
    <w:rsid w:val="00355725"/>
    <w:rsid w:val="00355827"/>
    <w:rsid w:val="003558A8"/>
    <w:rsid w:val="003559F6"/>
    <w:rsid w:val="00355A91"/>
    <w:rsid w:val="00355C65"/>
    <w:rsid w:val="00355E6F"/>
    <w:rsid w:val="003566B6"/>
    <w:rsid w:val="00356749"/>
    <w:rsid w:val="00356908"/>
    <w:rsid w:val="00356BB3"/>
    <w:rsid w:val="00356F25"/>
    <w:rsid w:val="003574A8"/>
    <w:rsid w:val="003574C1"/>
    <w:rsid w:val="003578D9"/>
    <w:rsid w:val="00357B90"/>
    <w:rsid w:val="00360313"/>
    <w:rsid w:val="003605AC"/>
    <w:rsid w:val="003609AE"/>
    <w:rsid w:val="00360D2A"/>
    <w:rsid w:val="00360D3B"/>
    <w:rsid w:val="00361100"/>
    <w:rsid w:val="0036117F"/>
    <w:rsid w:val="003612F8"/>
    <w:rsid w:val="003614BD"/>
    <w:rsid w:val="00361B7A"/>
    <w:rsid w:val="00361D4A"/>
    <w:rsid w:val="0036230B"/>
    <w:rsid w:val="00362449"/>
    <w:rsid w:val="003624E1"/>
    <w:rsid w:val="003627C9"/>
    <w:rsid w:val="003627E3"/>
    <w:rsid w:val="00362BD2"/>
    <w:rsid w:val="00363311"/>
    <w:rsid w:val="003637F0"/>
    <w:rsid w:val="00363BD7"/>
    <w:rsid w:val="0036403E"/>
    <w:rsid w:val="0036407B"/>
    <w:rsid w:val="003640E3"/>
    <w:rsid w:val="0036481E"/>
    <w:rsid w:val="0036498E"/>
    <w:rsid w:val="003649A2"/>
    <w:rsid w:val="00364E2C"/>
    <w:rsid w:val="00365402"/>
    <w:rsid w:val="00365973"/>
    <w:rsid w:val="00365C6F"/>
    <w:rsid w:val="00365FC3"/>
    <w:rsid w:val="0036611F"/>
    <w:rsid w:val="003662D7"/>
    <w:rsid w:val="00366C61"/>
    <w:rsid w:val="00367198"/>
    <w:rsid w:val="0036721E"/>
    <w:rsid w:val="0036724E"/>
    <w:rsid w:val="003674F6"/>
    <w:rsid w:val="0036767F"/>
    <w:rsid w:val="00367710"/>
    <w:rsid w:val="003678C1"/>
    <w:rsid w:val="003679FA"/>
    <w:rsid w:val="00367BB2"/>
    <w:rsid w:val="00367F97"/>
    <w:rsid w:val="0037064F"/>
    <w:rsid w:val="00370794"/>
    <w:rsid w:val="003710C0"/>
    <w:rsid w:val="0037166C"/>
    <w:rsid w:val="00371849"/>
    <w:rsid w:val="00371855"/>
    <w:rsid w:val="0037195A"/>
    <w:rsid w:val="00371E6D"/>
    <w:rsid w:val="003721FA"/>
    <w:rsid w:val="00372461"/>
    <w:rsid w:val="00372B63"/>
    <w:rsid w:val="00372F74"/>
    <w:rsid w:val="0037304E"/>
    <w:rsid w:val="0037358B"/>
    <w:rsid w:val="0037360F"/>
    <w:rsid w:val="003736D1"/>
    <w:rsid w:val="0037379F"/>
    <w:rsid w:val="003737AA"/>
    <w:rsid w:val="00373944"/>
    <w:rsid w:val="00373AF4"/>
    <w:rsid w:val="00373FCB"/>
    <w:rsid w:val="00374454"/>
    <w:rsid w:val="003747A0"/>
    <w:rsid w:val="0037514B"/>
    <w:rsid w:val="003754B9"/>
    <w:rsid w:val="003756A1"/>
    <w:rsid w:val="003757AF"/>
    <w:rsid w:val="00375A92"/>
    <w:rsid w:val="00375B90"/>
    <w:rsid w:val="00375C57"/>
    <w:rsid w:val="00375C9D"/>
    <w:rsid w:val="0037650A"/>
    <w:rsid w:val="00376824"/>
    <w:rsid w:val="003769C5"/>
    <w:rsid w:val="00376A44"/>
    <w:rsid w:val="00376FC4"/>
    <w:rsid w:val="003771E6"/>
    <w:rsid w:val="003772CC"/>
    <w:rsid w:val="00377465"/>
    <w:rsid w:val="00377A9E"/>
    <w:rsid w:val="00377C77"/>
    <w:rsid w:val="00377E9C"/>
    <w:rsid w:val="00377EAF"/>
    <w:rsid w:val="00380373"/>
    <w:rsid w:val="0038046D"/>
    <w:rsid w:val="00380483"/>
    <w:rsid w:val="0038053A"/>
    <w:rsid w:val="00380855"/>
    <w:rsid w:val="00380D29"/>
    <w:rsid w:val="00380E2C"/>
    <w:rsid w:val="0038114D"/>
    <w:rsid w:val="0038123C"/>
    <w:rsid w:val="003813F4"/>
    <w:rsid w:val="00381443"/>
    <w:rsid w:val="003814D5"/>
    <w:rsid w:val="003815A5"/>
    <w:rsid w:val="00381820"/>
    <w:rsid w:val="00381A05"/>
    <w:rsid w:val="00382037"/>
    <w:rsid w:val="00382320"/>
    <w:rsid w:val="00382830"/>
    <w:rsid w:val="003828BD"/>
    <w:rsid w:val="0038296C"/>
    <w:rsid w:val="00382EBF"/>
    <w:rsid w:val="00382F64"/>
    <w:rsid w:val="003831CD"/>
    <w:rsid w:val="0038335B"/>
    <w:rsid w:val="003839C9"/>
    <w:rsid w:val="00383E78"/>
    <w:rsid w:val="003845A4"/>
    <w:rsid w:val="0038497C"/>
    <w:rsid w:val="003849FD"/>
    <w:rsid w:val="00384BE0"/>
    <w:rsid w:val="00384FAE"/>
    <w:rsid w:val="00385B84"/>
    <w:rsid w:val="00385EE9"/>
    <w:rsid w:val="00386052"/>
    <w:rsid w:val="003862E6"/>
    <w:rsid w:val="003868A9"/>
    <w:rsid w:val="00386D84"/>
    <w:rsid w:val="00387604"/>
    <w:rsid w:val="0038766F"/>
    <w:rsid w:val="003878A1"/>
    <w:rsid w:val="00387D2E"/>
    <w:rsid w:val="003900E8"/>
    <w:rsid w:val="00390508"/>
    <w:rsid w:val="0039082F"/>
    <w:rsid w:val="00390B0A"/>
    <w:rsid w:val="00390DE2"/>
    <w:rsid w:val="00390F3C"/>
    <w:rsid w:val="00390FB3"/>
    <w:rsid w:val="0039106B"/>
    <w:rsid w:val="003911A2"/>
    <w:rsid w:val="003913FB"/>
    <w:rsid w:val="00391679"/>
    <w:rsid w:val="00391B2D"/>
    <w:rsid w:val="00391C4C"/>
    <w:rsid w:val="0039224F"/>
    <w:rsid w:val="00392571"/>
    <w:rsid w:val="003925C7"/>
    <w:rsid w:val="00392639"/>
    <w:rsid w:val="00392850"/>
    <w:rsid w:val="003928E3"/>
    <w:rsid w:val="00392F98"/>
    <w:rsid w:val="00393454"/>
    <w:rsid w:val="0039348E"/>
    <w:rsid w:val="00393709"/>
    <w:rsid w:val="003939BB"/>
    <w:rsid w:val="00393ABE"/>
    <w:rsid w:val="00393BF0"/>
    <w:rsid w:val="00394058"/>
    <w:rsid w:val="00394662"/>
    <w:rsid w:val="0039492E"/>
    <w:rsid w:val="00394ADD"/>
    <w:rsid w:val="00394B24"/>
    <w:rsid w:val="00394FCD"/>
    <w:rsid w:val="0039510F"/>
    <w:rsid w:val="00395679"/>
    <w:rsid w:val="00395B78"/>
    <w:rsid w:val="00395C99"/>
    <w:rsid w:val="00395C9B"/>
    <w:rsid w:val="00395F74"/>
    <w:rsid w:val="003967DE"/>
    <w:rsid w:val="00396BFB"/>
    <w:rsid w:val="00396DD3"/>
    <w:rsid w:val="00396F2F"/>
    <w:rsid w:val="00396F78"/>
    <w:rsid w:val="00396FB9"/>
    <w:rsid w:val="003971AF"/>
    <w:rsid w:val="003971E4"/>
    <w:rsid w:val="003974DE"/>
    <w:rsid w:val="003975D2"/>
    <w:rsid w:val="0039769D"/>
    <w:rsid w:val="00397742"/>
    <w:rsid w:val="00397884"/>
    <w:rsid w:val="003978F5"/>
    <w:rsid w:val="00397B55"/>
    <w:rsid w:val="00397D9F"/>
    <w:rsid w:val="003A0397"/>
    <w:rsid w:val="003A0633"/>
    <w:rsid w:val="003A0C29"/>
    <w:rsid w:val="003A1F1C"/>
    <w:rsid w:val="003A207E"/>
    <w:rsid w:val="003A25BC"/>
    <w:rsid w:val="003A2669"/>
    <w:rsid w:val="003A26D8"/>
    <w:rsid w:val="003A2770"/>
    <w:rsid w:val="003A2BDE"/>
    <w:rsid w:val="003A2D05"/>
    <w:rsid w:val="003A35E6"/>
    <w:rsid w:val="003A3883"/>
    <w:rsid w:val="003A3942"/>
    <w:rsid w:val="003A3D8E"/>
    <w:rsid w:val="003A3E9D"/>
    <w:rsid w:val="003A4076"/>
    <w:rsid w:val="003A4258"/>
    <w:rsid w:val="003A440F"/>
    <w:rsid w:val="003A48ED"/>
    <w:rsid w:val="003A4993"/>
    <w:rsid w:val="003A49F6"/>
    <w:rsid w:val="003A4A6D"/>
    <w:rsid w:val="003A4EE5"/>
    <w:rsid w:val="003A5412"/>
    <w:rsid w:val="003A5A53"/>
    <w:rsid w:val="003A5F94"/>
    <w:rsid w:val="003A62F6"/>
    <w:rsid w:val="003A6407"/>
    <w:rsid w:val="003A6508"/>
    <w:rsid w:val="003A6695"/>
    <w:rsid w:val="003A6700"/>
    <w:rsid w:val="003A6798"/>
    <w:rsid w:val="003A6BFE"/>
    <w:rsid w:val="003A6D8E"/>
    <w:rsid w:val="003A6DB6"/>
    <w:rsid w:val="003A6E43"/>
    <w:rsid w:val="003A70D0"/>
    <w:rsid w:val="003A7C1E"/>
    <w:rsid w:val="003B02E3"/>
    <w:rsid w:val="003B0C7D"/>
    <w:rsid w:val="003B0D4B"/>
    <w:rsid w:val="003B1306"/>
    <w:rsid w:val="003B15C3"/>
    <w:rsid w:val="003B16AC"/>
    <w:rsid w:val="003B16D0"/>
    <w:rsid w:val="003B18B9"/>
    <w:rsid w:val="003B1CA2"/>
    <w:rsid w:val="003B2001"/>
    <w:rsid w:val="003B20A6"/>
    <w:rsid w:val="003B222A"/>
    <w:rsid w:val="003B258B"/>
    <w:rsid w:val="003B28B2"/>
    <w:rsid w:val="003B29ED"/>
    <w:rsid w:val="003B2FAE"/>
    <w:rsid w:val="003B30BE"/>
    <w:rsid w:val="003B41CE"/>
    <w:rsid w:val="003B43CA"/>
    <w:rsid w:val="003B45EC"/>
    <w:rsid w:val="003B4819"/>
    <w:rsid w:val="003B491F"/>
    <w:rsid w:val="003B499F"/>
    <w:rsid w:val="003B5183"/>
    <w:rsid w:val="003B55EE"/>
    <w:rsid w:val="003B566B"/>
    <w:rsid w:val="003B57E6"/>
    <w:rsid w:val="003B5C07"/>
    <w:rsid w:val="003B5E41"/>
    <w:rsid w:val="003B646D"/>
    <w:rsid w:val="003B6AA6"/>
    <w:rsid w:val="003B6AF4"/>
    <w:rsid w:val="003B75C4"/>
    <w:rsid w:val="003B7796"/>
    <w:rsid w:val="003B799E"/>
    <w:rsid w:val="003B7E50"/>
    <w:rsid w:val="003C0448"/>
    <w:rsid w:val="003C04FF"/>
    <w:rsid w:val="003C082C"/>
    <w:rsid w:val="003C08EA"/>
    <w:rsid w:val="003C0928"/>
    <w:rsid w:val="003C09C3"/>
    <w:rsid w:val="003C0AEC"/>
    <w:rsid w:val="003C0B33"/>
    <w:rsid w:val="003C0B45"/>
    <w:rsid w:val="003C0EFC"/>
    <w:rsid w:val="003C0F85"/>
    <w:rsid w:val="003C1335"/>
    <w:rsid w:val="003C1CC5"/>
    <w:rsid w:val="003C247A"/>
    <w:rsid w:val="003C28E1"/>
    <w:rsid w:val="003C28FF"/>
    <w:rsid w:val="003C2931"/>
    <w:rsid w:val="003C293F"/>
    <w:rsid w:val="003C2A5D"/>
    <w:rsid w:val="003C2ADA"/>
    <w:rsid w:val="003C2B7B"/>
    <w:rsid w:val="003C2C2E"/>
    <w:rsid w:val="003C2DC2"/>
    <w:rsid w:val="003C310B"/>
    <w:rsid w:val="003C331E"/>
    <w:rsid w:val="003C34B8"/>
    <w:rsid w:val="003C35BC"/>
    <w:rsid w:val="003C37F1"/>
    <w:rsid w:val="003C3820"/>
    <w:rsid w:val="003C3846"/>
    <w:rsid w:val="003C3A28"/>
    <w:rsid w:val="003C3B2B"/>
    <w:rsid w:val="003C4300"/>
    <w:rsid w:val="003C43E1"/>
    <w:rsid w:val="003C44E2"/>
    <w:rsid w:val="003C458D"/>
    <w:rsid w:val="003C4985"/>
    <w:rsid w:val="003C4C8B"/>
    <w:rsid w:val="003C4CF2"/>
    <w:rsid w:val="003C4DEF"/>
    <w:rsid w:val="003C530E"/>
    <w:rsid w:val="003C557D"/>
    <w:rsid w:val="003C57A8"/>
    <w:rsid w:val="003C5868"/>
    <w:rsid w:val="003C5E22"/>
    <w:rsid w:val="003C5FB9"/>
    <w:rsid w:val="003C6996"/>
    <w:rsid w:val="003C6DFD"/>
    <w:rsid w:val="003C6E03"/>
    <w:rsid w:val="003C74C8"/>
    <w:rsid w:val="003C7722"/>
    <w:rsid w:val="003C774E"/>
    <w:rsid w:val="003C77E3"/>
    <w:rsid w:val="003C7809"/>
    <w:rsid w:val="003C7D14"/>
    <w:rsid w:val="003D04E4"/>
    <w:rsid w:val="003D0694"/>
    <w:rsid w:val="003D0781"/>
    <w:rsid w:val="003D09AF"/>
    <w:rsid w:val="003D0B4F"/>
    <w:rsid w:val="003D0BC8"/>
    <w:rsid w:val="003D0F4E"/>
    <w:rsid w:val="003D0F55"/>
    <w:rsid w:val="003D145F"/>
    <w:rsid w:val="003D151B"/>
    <w:rsid w:val="003D1F4A"/>
    <w:rsid w:val="003D1F57"/>
    <w:rsid w:val="003D299C"/>
    <w:rsid w:val="003D2B81"/>
    <w:rsid w:val="003D2C90"/>
    <w:rsid w:val="003D2D4A"/>
    <w:rsid w:val="003D3077"/>
    <w:rsid w:val="003D3126"/>
    <w:rsid w:val="003D3271"/>
    <w:rsid w:val="003D3502"/>
    <w:rsid w:val="003D3C26"/>
    <w:rsid w:val="003D3F06"/>
    <w:rsid w:val="003D418E"/>
    <w:rsid w:val="003D452B"/>
    <w:rsid w:val="003D496D"/>
    <w:rsid w:val="003D5260"/>
    <w:rsid w:val="003D5B34"/>
    <w:rsid w:val="003D6A02"/>
    <w:rsid w:val="003D6D41"/>
    <w:rsid w:val="003D7020"/>
    <w:rsid w:val="003D7515"/>
    <w:rsid w:val="003D7B4C"/>
    <w:rsid w:val="003D7EC2"/>
    <w:rsid w:val="003E0091"/>
    <w:rsid w:val="003E0694"/>
    <w:rsid w:val="003E073A"/>
    <w:rsid w:val="003E079A"/>
    <w:rsid w:val="003E0B9F"/>
    <w:rsid w:val="003E14ED"/>
    <w:rsid w:val="003E1857"/>
    <w:rsid w:val="003E1BBF"/>
    <w:rsid w:val="003E1F78"/>
    <w:rsid w:val="003E217C"/>
    <w:rsid w:val="003E2294"/>
    <w:rsid w:val="003E23D2"/>
    <w:rsid w:val="003E268F"/>
    <w:rsid w:val="003E281E"/>
    <w:rsid w:val="003E282C"/>
    <w:rsid w:val="003E3119"/>
    <w:rsid w:val="003E377D"/>
    <w:rsid w:val="003E3B78"/>
    <w:rsid w:val="003E3D7D"/>
    <w:rsid w:val="003E3EEC"/>
    <w:rsid w:val="003E3F60"/>
    <w:rsid w:val="003E42A7"/>
    <w:rsid w:val="003E4A8E"/>
    <w:rsid w:val="003E5537"/>
    <w:rsid w:val="003E575C"/>
    <w:rsid w:val="003E5842"/>
    <w:rsid w:val="003E588A"/>
    <w:rsid w:val="003E5B2D"/>
    <w:rsid w:val="003E61F0"/>
    <w:rsid w:val="003E63B9"/>
    <w:rsid w:val="003E65A3"/>
    <w:rsid w:val="003E6BE0"/>
    <w:rsid w:val="003E6C6A"/>
    <w:rsid w:val="003E76DC"/>
    <w:rsid w:val="003E7892"/>
    <w:rsid w:val="003F03AE"/>
    <w:rsid w:val="003F098A"/>
    <w:rsid w:val="003F0C26"/>
    <w:rsid w:val="003F0EBD"/>
    <w:rsid w:val="003F0F33"/>
    <w:rsid w:val="003F13B0"/>
    <w:rsid w:val="003F19D2"/>
    <w:rsid w:val="003F1B77"/>
    <w:rsid w:val="003F1C34"/>
    <w:rsid w:val="003F1FAC"/>
    <w:rsid w:val="003F231E"/>
    <w:rsid w:val="003F243A"/>
    <w:rsid w:val="003F24DD"/>
    <w:rsid w:val="003F2839"/>
    <w:rsid w:val="003F2A0E"/>
    <w:rsid w:val="003F2C2A"/>
    <w:rsid w:val="003F325A"/>
    <w:rsid w:val="003F3278"/>
    <w:rsid w:val="003F34EE"/>
    <w:rsid w:val="003F3571"/>
    <w:rsid w:val="003F3C35"/>
    <w:rsid w:val="003F3C39"/>
    <w:rsid w:val="003F3D73"/>
    <w:rsid w:val="003F4102"/>
    <w:rsid w:val="003F4C08"/>
    <w:rsid w:val="003F4EE0"/>
    <w:rsid w:val="003F4FA1"/>
    <w:rsid w:val="003F5714"/>
    <w:rsid w:val="003F591E"/>
    <w:rsid w:val="003F5A02"/>
    <w:rsid w:val="003F5D9D"/>
    <w:rsid w:val="003F5F7B"/>
    <w:rsid w:val="003F69D9"/>
    <w:rsid w:val="003F6EF7"/>
    <w:rsid w:val="003F703E"/>
    <w:rsid w:val="003F71B8"/>
    <w:rsid w:val="003F75D3"/>
    <w:rsid w:val="003F76E7"/>
    <w:rsid w:val="003F7712"/>
    <w:rsid w:val="003F78C7"/>
    <w:rsid w:val="003F7904"/>
    <w:rsid w:val="003F7A1C"/>
    <w:rsid w:val="003F7CAE"/>
    <w:rsid w:val="003F7DA2"/>
    <w:rsid w:val="003F7DCF"/>
    <w:rsid w:val="003F7EFD"/>
    <w:rsid w:val="0040004B"/>
    <w:rsid w:val="004000BA"/>
    <w:rsid w:val="0040098B"/>
    <w:rsid w:val="00401186"/>
    <w:rsid w:val="00401579"/>
    <w:rsid w:val="004018FD"/>
    <w:rsid w:val="00401F45"/>
    <w:rsid w:val="0040242E"/>
    <w:rsid w:val="004029A8"/>
    <w:rsid w:val="00402EDD"/>
    <w:rsid w:val="004033E3"/>
    <w:rsid w:val="004036A9"/>
    <w:rsid w:val="00403739"/>
    <w:rsid w:val="00403C38"/>
    <w:rsid w:val="00403E3A"/>
    <w:rsid w:val="004040C5"/>
    <w:rsid w:val="004049C7"/>
    <w:rsid w:val="00404CCF"/>
    <w:rsid w:val="00404DC2"/>
    <w:rsid w:val="00405072"/>
    <w:rsid w:val="00405235"/>
    <w:rsid w:val="004052EF"/>
    <w:rsid w:val="0040531B"/>
    <w:rsid w:val="004053A9"/>
    <w:rsid w:val="004057B5"/>
    <w:rsid w:val="0040590F"/>
    <w:rsid w:val="00405F4A"/>
    <w:rsid w:val="00405F5F"/>
    <w:rsid w:val="004060E8"/>
    <w:rsid w:val="0040644A"/>
    <w:rsid w:val="00406512"/>
    <w:rsid w:val="00406797"/>
    <w:rsid w:val="00406A2F"/>
    <w:rsid w:val="00406D26"/>
    <w:rsid w:val="00406E77"/>
    <w:rsid w:val="00406F90"/>
    <w:rsid w:val="004071D0"/>
    <w:rsid w:val="00407303"/>
    <w:rsid w:val="0040747D"/>
    <w:rsid w:val="00407735"/>
    <w:rsid w:val="00407806"/>
    <w:rsid w:val="00407F4F"/>
    <w:rsid w:val="00410093"/>
    <w:rsid w:val="00410572"/>
    <w:rsid w:val="004105D1"/>
    <w:rsid w:val="004109F8"/>
    <w:rsid w:val="00410A8F"/>
    <w:rsid w:val="00410AA7"/>
    <w:rsid w:val="00410AB2"/>
    <w:rsid w:val="00410CD7"/>
    <w:rsid w:val="00410E04"/>
    <w:rsid w:val="00410FFB"/>
    <w:rsid w:val="0041108A"/>
    <w:rsid w:val="004112A3"/>
    <w:rsid w:val="00411394"/>
    <w:rsid w:val="00411A89"/>
    <w:rsid w:val="00411B64"/>
    <w:rsid w:val="00411FF4"/>
    <w:rsid w:val="0041222D"/>
    <w:rsid w:val="004124C1"/>
    <w:rsid w:val="004126B4"/>
    <w:rsid w:val="00412717"/>
    <w:rsid w:val="00412EA7"/>
    <w:rsid w:val="00412FAB"/>
    <w:rsid w:val="0041300B"/>
    <w:rsid w:val="004130EE"/>
    <w:rsid w:val="00413A4F"/>
    <w:rsid w:val="00413E24"/>
    <w:rsid w:val="00413E88"/>
    <w:rsid w:val="00413ECF"/>
    <w:rsid w:val="00414483"/>
    <w:rsid w:val="00414778"/>
    <w:rsid w:val="00414BA1"/>
    <w:rsid w:val="004150E1"/>
    <w:rsid w:val="00415100"/>
    <w:rsid w:val="004153F4"/>
    <w:rsid w:val="00415675"/>
    <w:rsid w:val="00415B91"/>
    <w:rsid w:val="00416197"/>
    <w:rsid w:val="00416260"/>
    <w:rsid w:val="0041692C"/>
    <w:rsid w:val="00416ED8"/>
    <w:rsid w:val="00417274"/>
    <w:rsid w:val="004173D7"/>
    <w:rsid w:val="00417D80"/>
    <w:rsid w:val="00417E09"/>
    <w:rsid w:val="00417F59"/>
    <w:rsid w:val="0042044E"/>
    <w:rsid w:val="00420D99"/>
    <w:rsid w:val="00420FBE"/>
    <w:rsid w:val="00421332"/>
    <w:rsid w:val="00421369"/>
    <w:rsid w:val="00421615"/>
    <w:rsid w:val="00421AF5"/>
    <w:rsid w:val="00421D13"/>
    <w:rsid w:val="00422C10"/>
    <w:rsid w:val="00423009"/>
    <w:rsid w:val="00423845"/>
    <w:rsid w:val="00423A28"/>
    <w:rsid w:val="00423B8C"/>
    <w:rsid w:val="00423DF8"/>
    <w:rsid w:val="004241DB"/>
    <w:rsid w:val="0042493D"/>
    <w:rsid w:val="0042493F"/>
    <w:rsid w:val="004252A0"/>
    <w:rsid w:val="0042571C"/>
    <w:rsid w:val="00425D5E"/>
    <w:rsid w:val="00426141"/>
    <w:rsid w:val="00426544"/>
    <w:rsid w:val="00426CB5"/>
    <w:rsid w:val="00426EDD"/>
    <w:rsid w:val="004272C9"/>
    <w:rsid w:val="004273C8"/>
    <w:rsid w:val="004273E2"/>
    <w:rsid w:val="004274B4"/>
    <w:rsid w:val="00427664"/>
    <w:rsid w:val="004278C7"/>
    <w:rsid w:val="00427FBF"/>
    <w:rsid w:val="00430169"/>
    <w:rsid w:val="004301B8"/>
    <w:rsid w:val="0043031B"/>
    <w:rsid w:val="0043036B"/>
    <w:rsid w:val="00430622"/>
    <w:rsid w:val="00430625"/>
    <w:rsid w:val="00430E01"/>
    <w:rsid w:val="004312D6"/>
    <w:rsid w:val="004313FF"/>
    <w:rsid w:val="00431CD3"/>
    <w:rsid w:val="00431DF3"/>
    <w:rsid w:val="00431E07"/>
    <w:rsid w:val="00431F80"/>
    <w:rsid w:val="00432D6B"/>
    <w:rsid w:val="00432F5D"/>
    <w:rsid w:val="004330B2"/>
    <w:rsid w:val="004334AC"/>
    <w:rsid w:val="00433597"/>
    <w:rsid w:val="00433963"/>
    <w:rsid w:val="00433A73"/>
    <w:rsid w:val="00433B35"/>
    <w:rsid w:val="00433B4A"/>
    <w:rsid w:val="004340A3"/>
    <w:rsid w:val="004340BF"/>
    <w:rsid w:val="004340D0"/>
    <w:rsid w:val="00434819"/>
    <w:rsid w:val="00434BBA"/>
    <w:rsid w:val="00434C17"/>
    <w:rsid w:val="00434C8C"/>
    <w:rsid w:val="0043505F"/>
    <w:rsid w:val="00435496"/>
    <w:rsid w:val="004355B4"/>
    <w:rsid w:val="00435AAF"/>
    <w:rsid w:val="00435B33"/>
    <w:rsid w:val="00435B4B"/>
    <w:rsid w:val="00435BBD"/>
    <w:rsid w:val="00435E02"/>
    <w:rsid w:val="00435F7A"/>
    <w:rsid w:val="00436576"/>
    <w:rsid w:val="00436AEB"/>
    <w:rsid w:val="00436DDC"/>
    <w:rsid w:val="00436E78"/>
    <w:rsid w:val="004373AC"/>
    <w:rsid w:val="0043761D"/>
    <w:rsid w:val="004376E0"/>
    <w:rsid w:val="0043782B"/>
    <w:rsid w:val="00437F09"/>
    <w:rsid w:val="0044069D"/>
    <w:rsid w:val="00440802"/>
    <w:rsid w:val="00440841"/>
    <w:rsid w:val="00440CFB"/>
    <w:rsid w:val="00440E42"/>
    <w:rsid w:val="00440ED5"/>
    <w:rsid w:val="00440FE9"/>
    <w:rsid w:val="00441132"/>
    <w:rsid w:val="00441262"/>
    <w:rsid w:val="00441390"/>
    <w:rsid w:val="00441649"/>
    <w:rsid w:val="00441759"/>
    <w:rsid w:val="00441A3D"/>
    <w:rsid w:val="00441BD9"/>
    <w:rsid w:val="00441C8D"/>
    <w:rsid w:val="00441CE0"/>
    <w:rsid w:val="0044227E"/>
    <w:rsid w:val="004425D1"/>
    <w:rsid w:val="00442A1F"/>
    <w:rsid w:val="00442BB9"/>
    <w:rsid w:val="00442DB4"/>
    <w:rsid w:val="00443157"/>
    <w:rsid w:val="004436F8"/>
    <w:rsid w:val="004437EB"/>
    <w:rsid w:val="004439B6"/>
    <w:rsid w:val="00443B60"/>
    <w:rsid w:val="00443CAC"/>
    <w:rsid w:val="00443F3A"/>
    <w:rsid w:val="004448AF"/>
    <w:rsid w:val="00444B89"/>
    <w:rsid w:val="00444CAE"/>
    <w:rsid w:val="00444E3F"/>
    <w:rsid w:val="00444EA6"/>
    <w:rsid w:val="004452F1"/>
    <w:rsid w:val="004457E5"/>
    <w:rsid w:val="00445CC7"/>
    <w:rsid w:val="00445CDF"/>
    <w:rsid w:val="00445CE3"/>
    <w:rsid w:val="00445D4B"/>
    <w:rsid w:val="00445E50"/>
    <w:rsid w:val="004464B9"/>
    <w:rsid w:val="004466C1"/>
    <w:rsid w:val="00446729"/>
    <w:rsid w:val="00446A31"/>
    <w:rsid w:val="00446A62"/>
    <w:rsid w:val="00446C1E"/>
    <w:rsid w:val="00446EDC"/>
    <w:rsid w:val="00447194"/>
    <w:rsid w:val="004475D5"/>
    <w:rsid w:val="00447947"/>
    <w:rsid w:val="00447EDC"/>
    <w:rsid w:val="004502EC"/>
    <w:rsid w:val="00450353"/>
    <w:rsid w:val="004503EF"/>
    <w:rsid w:val="0045048D"/>
    <w:rsid w:val="004508F6"/>
    <w:rsid w:val="00450951"/>
    <w:rsid w:val="00450BCC"/>
    <w:rsid w:val="00450E27"/>
    <w:rsid w:val="00450F02"/>
    <w:rsid w:val="00450FFD"/>
    <w:rsid w:val="00451073"/>
    <w:rsid w:val="00451224"/>
    <w:rsid w:val="00451515"/>
    <w:rsid w:val="00451ADB"/>
    <w:rsid w:val="00451BCC"/>
    <w:rsid w:val="00451D49"/>
    <w:rsid w:val="004520FC"/>
    <w:rsid w:val="004525D7"/>
    <w:rsid w:val="00452BCD"/>
    <w:rsid w:val="00452F23"/>
    <w:rsid w:val="0045347C"/>
    <w:rsid w:val="00453621"/>
    <w:rsid w:val="00453B11"/>
    <w:rsid w:val="00453CF7"/>
    <w:rsid w:val="00453E3E"/>
    <w:rsid w:val="00453ED0"/>
    <w:rsid w:val="00453FA7"/>
    <w:rsid w:val="00454006"/>
    <w:rsid w:val="004545E5"/>
    <w:rsid w:val="0045465B"/>
    <w:rsid w:val="004546B5"/>
    <w:rsid w:val="00454F60"/>
    <w:rsid w:val="00454FF2"/>
    <w:rsid w:val="004555FA"/>
    <w:rsid w:val="004559A1"/>
    <w:rsid w:val="00455CAB"/>
    <w:rsid w:val="00456093"/>
    <w:rsid w:val="004562E8"/>
    <w:rsid w:val="004563AB"/>
    <w:rsid w:val="004563F4"/>
    <w:rsid w:val="004564C8"/>
    <w:rsid w:val="00456577"/>
    <w:rsid w:val="004566E5"/>
    <w:rsid w:val="00456A21"/>
    <w:rsid w:val="00456B6C"/>
    <w:rsid w:val="004570D8"/>
    <w:rsid w:val="00457650"/>
    <w:rsid w:val="00457B1D"/>
    <w:rsid w:val="00457F21"/>
    <w:rsid w:val="00457F58"/>
    <w:rsid w:val="0046001A"/>
    <w:rsid w:val="00460181"/>
    <w:rsid w:val="004604F5"/>
    <w:rsid w:val="004611BF"/>
    <w:rsid w:val="004614B2"/>
    <w:rsid w:val="004615E1"/>
    <w:rsid w:val="00461612"/>
    <w:rsid w:val="00461619"/>
    <w:rsid w:val="00462397"/>
    <w:rsid w:val="00462B87"/>
    <w:rsid w:val="00462DB0"/>
    <w:rsid w:val="004630D3"/>
    <w:rsid w:val="00463177"/>
    <w:rsid w:val="00463CF5"/>
    <w:rsid w:val="00463D8B"/>
    <w:rsid w:val="00463FEB"/>
    <w:rsid w:val="004647E7"/>
    <w:rsid w:val="0046481B"/>
    <w:rsid w:val="00464A41"/>
    <w:rsid w:val="00464D65"/>
    <w:rsid w:val="00465043"/>
    <w:rsid w:val="00465242"/>
    <w:rsid w:val="004659FE"/>
    <w:rsid w:val="00465AA0"/>
    <w:rsid w:val="00465C62"/>
    <w:rsid w:val="00465F09"/>
    <w:rsid w:val="0046614C"/>
    <w:rsid w:val="0046663A"/>
    <w:rsid w:val="0046668E"/>
    <w:rsid w:val="0046683C"/>
    <w:rsid w:val="004668B1"/>
    <w:rsid w:val="004669B7"/>
    <w:rsid w:val="00466C7E"/>
    <w:rsid w:val="00467111"/>
    <w:rsid w:val="004673F0"/>
    <w:rsid w:val="00467A0B"/>
    <w:rsid w:val="00467C3C"/>
    <w:rsid w:val="004706CE"/>
    <w:rsid w:val="004707F2"/>
    <w:rsid w:val="004709A2"/>
    <w:rsid w:val="00470FCB"/>
    <w:rsid w:val="00471047"/>
    <w:rsid w:val="00471386"/>
    <w:rsid w:val="004713AB"/>
    <w:rsid w:val="004713C2"/>
    <w:rsid w:val="00471CEA"/>
    <w:rsid w:val="00471DCD"/>
    <w:rsid w:val="00472103"/>
    <w:rsid w:val="00472366"/>
    <w:rsid w:val="00472427"/>
    <w:rsid w:val="0047266B"/>
    <w:rsid w:val="004726EF"/>
    <w:rsid w:val="004726FB"/>
    <w:rsid w:val="00472801"/>
    <w:rsid w:val="004729B8"/>
    <w:rsid w:val="004729D8"/>
    <w:rsid w:val="004734E0"/>
    <w:rsid w:val="00473564"/>
    <w:rsid w:val="00473932"/>
    <w:rsid w:val="00473B7F"/>
    <w:rsid w:val="00474306"/>
    <w:rsid w:val="00474855"/>
    <w:rsid w:val="00474A68"/>
    <w:rsid w:val="00474EA5"/>
    <w:rsid w:val="00475041"/>
    <w:rsid w:val="0047511E"/>
    <w:rsid w:val="00475403"/>
    <w:rsid w:val="00475825"/>
    <w:rsid w:val="004762EB"/>
    <w:rsid w:val="0047678A"/>
    <w:rsid w:val="004767D1"/>
    <w:rsid w:val="00476AE0"/>
    <w:rsid w:val="00476AE1"/>
    <w:rsid w:val="00477FF1"/>
    <w:rsid w:val="004804FC"/>
    <w:rsid w:val="00480992"/>
    <w:rsid w:val="00480CAB"/>
    <w:rsid w:val="00480CBB"/>
    <w:rsid w:val="00480ED1"/>
    <w:rsid w:val="004817D5"/>
    <w:rsid w:val="00481CDC"/>
    <w:rsid w:val="00482737"/>
    <w:rsid w:val="00482958"/>
    <w:rsid w:val="00482A61"/>
    <w:rsid w:val="00482B38"/>
    <w:rsid w:val="00482BBD"/>
    <w:rsid w:val="00482EA9"/>
    <w:rsid w:val="00482F62"/>
    <w:rsid w:val="00483172"/>
    <w:rsid w:val="00483442"/>
    <w:rsid w:val="004838AE"/>
    <w:rsid w:val="00483CE2"/>
    <w:rsid w:val="00483FC9"/>
    <w:rsid w:val="00484212"/>
    <w:rsid w:val="00484303"/>
    <w:rsid w:val="004847E0"/>
    <w:rsid w:val="004848D2"/>
    <w:rsid w:val="00484A5E"/>
    <w:rsid w:val="00484B61"/>
    <w:rsid w:val="00484EAA"/>
    <w:rsid w:val="004853B7"/>
    <w:rsid w:val="0048571B"/>
    <w:rsid w:val="00485872"/>
    <w:rsid w:val="00486188"/>
    <w:rsid w:val="004865E1"/>
    <w:rsid w:val="0048681E"/>
    <w:rsid w:val="00486996"/>
    <w:rsid w:val="00486F82"/>
    <w:rsid w:val="00487121"/>
    <w:rsid w:val="00487723"/>
    <w:rsid w:val="004877E4"/>
    <w:rsid w:val="00490083"/>
    <w:rsid w:val="00490902"/>
    <w:rsid w:val="00490A9C"/>
    <w:rsid w:val="00490BAF"/>
    <w:rsid w:val="00491790"/>
    <w:rsid w:val="00491973"/>
    <w:rsid w:val="00491999"/>
    <w:rsid w:val="00491A4F"/>
    <w:rsid w:val="00491B85"/>
    <w:rsid w:val="00492196"/>
    <w:rsid w:val="00492401"/>
    <w:rsid w:val="004924D7"/>
    <w:rsid w:val="0049258E"/>
    <w:rsid w:val="00492631"/>
    <w:rsid w:val="00492728"/>
    <w:rsid w:val="00492D64"/>
    <w:rsid w:val="004933B0"/>
    <w:rsid w:val="00493FCF"/>
    <w:rsid w:val="0049463C"/>
    <w:rsid w:val="004949E1"/>
    <w:rsid w:val="00494A0E"/>
    <w:rsid w:val="004952F6"/>
    <w:rsid w:val="004956B7"/>
    <w:rsid w:val="00495BD9"/>
    <w:rsid w:val="00495CB1"/>
    <w:rsid w:val="00495D8E"/>
    <w:rsid w:val="00495F07"/>
    <w:rsid w:val="00496B9E"/>
    <w:rsid w:val="00496BB2"/>
    <w:rsid w:val="00496BC6"/>
    <w:rsid w:val="00496D20"/>
    <w:rsid w:val="004970C0"/>
    <w:rsid w:val="00497820"/>
    <w:rsid w:val="00497A53"/>
    <w:rsid w:val="004A01DD"/>
    <w:rsid w:val="004A05B2"/>
    <w:rsid w:val="004A06A8"/>
    <w:rsid w:val="004A0B5B"/>
    <w:rsid w:val="004A0E65"/>
    <w:rsid w:val="004A1017"/>
    <w:rsid w:val="004A12B8"/>
    <w:rsid w:val="004A16B8"/>
    <w:rsid w:val="004A16EA"/>
    <w:rsid w:val="004A2548"/>
    <w:rsid w:val="004A2782"/>
    <w:rsid w:val="004A2BA0"/>
    <w:rsid w:val="004A2ED0"/>
    <w:rsid w:val="004A3267"/>
    <w:rsid w:val="004A37E6"/>
    <w:rsid w:val="004A3817"/>
    <w:rsid w:val="004A404E"/>
    <w:rsid w:val="004A457F"/>
    <w:rsid w:val="004A488D"/>
    <w:rsid w:val="004A4B2C"/>
    <w:rsid w:val="004A5439"/>
    <w:rsid w:val="004A5CBF"/>
    <w:rsid w:val="004A5D0A"/>
    <w:rsid w:val="004A5DC6"/>
    <w:rsid w:val="004A6645"/>
    <w:rsid w:val="004A66D7"/>
    <w:rsid w:val="004A691B"/>
    <w:rsid w:val="004A75BB"/>
    <w:rsid w:val="004A7840"/>
    <w:rsid w:val="004A7C2D"/>
    <w:rsid w:val="004B037A"/>
    <w:rsid w:val="004B04B9"/>
    <w:rsid w:val="004B0787"/>
    <w:rsid w:val="004B0805"/>
    <w:rsid w:val="004B0A62"/>
    <w:rsid w:val="004B0C41"/>
    <w:rsid w:val="004B0FFB"/>
    <w:rsid w:val="004B13B4"/>
    <w:rsid w:val="004B1A8F"/>
    <w:rsid w:val="004B1AAC"/>
    <w:rsid w:val="004B1B53"/>
    <w:rsid w:val="004B2A6E"/>
    <w:rsid w:val="004B2D3F"/>
    <w:rsid w:val="004B2F6A"/>
    <w:rsid w:val="004B3504"/>
    <w:rsid w:val="004B35C7"/>
    <w:rsid w:val="004B36B5"/>
    <w:rsid w:val="004B385F"/>
    <w:rsid w:val="004B3ED3"/>
    <w:rsid w:val="004B3F7C"/>
    <w:rsid w:val="004B431E"/>
    <w:rsid w:val="004B4AC5"/>
    <w:rsid w:val="004B50B3"/>
    <w:rsid w:val="004B53AF"/>
    <w:rsid w:val="004B5865"/>
    <w:rsid w:val="004B58DC"/>
    <w:rsid w:val="004B5A89"/>
    <w:rsid w:val="004B5CE2"/>
    <w:rsid w:val="004B5F52"/>
    <w:rsid w:val="004B62F4"/>
    <w:rsid w:val="004B62FC"/>
    <w:rsid w:val="004B637F"/>
    <w:rsid w:val="004B652D"/>
    <w:rsid w:val="004B70DA"/>
    <w:rsid w:val="004B72BA"/>
    <w:rsid w:val="004B72E2"/>
    <w:rsid w:val="004B732C"/>
    <w:rsid w:val="004B75BB"/>
    <w:rsid w:val="004B7786"/>
    <w:rsid w:val="004B7859"/>
    <w:rsid w:val="004B7E50"/>
    <w:rsid w:val="004C0039"/>
    <w:rsid w:val="004C022B"/>
    <w:rsid w:val="004C08D4"/>
    <w:rsid w:val="004C098A"/>
    <w:rsid w:val="004C0D6A"/>
    <w:rsid w:val="004C0EFF"/>
    <w:rsid w:val="004C1288"/>
    <w:rsid w:val="004C1361"/>
    <w:rsid w:val="004C13A1"/>
    <w:rsid w:val="004C22B6"/>
    <w:rsid w:val="004C23A9"/>
    <w:rsid w:val="004C26BB"/>
    <w:rsid w:val="004C2829"/>
    <w:rsid w:val="004C2DA1"/>
    <w:rsid w:val="004C2DE0"/>
    <w:rsid w:val="004C2FDF"/>
    <w:rsid w:val="004C34D9"/>
    <w:rsid w:val="004C36A3"/>
    <w:rsid w:val="004C36A8"/>
    <w:rsid w:val="004C3D67"/>
    <w:rsid w:val="004C436E"/>
    <w:rsid w:val="004C46A6"/>
    <w:rsid w:val="004C4BF6"/>
    <w:rsid w:val="004C4EC0"/>
    <w:rsid w:val="004C5462"/>
    <w:rsid w:val="004C56B4"/>
    <w:rsid w:val="004C58C7"/>
    <w:rsid w:val="004C58D1"/>
    <w:rsid w:val="004C5D3C"/>
    <w:rsid w:val="004C64E1"/>
    <w:rsid w:val="004C657D"/>
    <w:rsid w:val="004C676A"/>
    <w:rsid w:val="004C6844"/>
    <w:rsid w:val="004C6A22"/>
    <w:rsid w:val="004C6AA1"/>
    <w:rsid w:val="004C6B44"/>
    <w:rsid w:val="004C6D52"/>
    <w:rsid w:val="004C6E54"/>
    <w:rsid w:val="004C6FF6"/>
    <w:rsid w:val="004C7071"/>
    <w:rsid w:val="004C7117"/>
    <w:rsid w:val="004C71B1"/>
    <w:rsid w:val="004C729B"/>
    <w:rsid w:val="004C7CEE"/>
    <w:rsid w:val="004D0355"/>
    <w:rsid w:val="004D043B"/>
    <w:rsid w:val="004D074D"/>
    <w:rsid w:val="004D0A22"/>
    <w:rsid w:val="004D0C26"/>
    <w:rsid w:val="004D0CE1"/>
    <w:rsid w:val="004D11A4"/>
    <w:rsid w:val="004D149B"/>
    <w:rsid w:val="004D176B"/>
    <w:rsid w:val="004D179B"/>
    <w:rsid w:val="004D1A96"/>
    <w:rsid w:val="004D1E79"/>
    <w:rsid w:val="004D1F81"/>
    <w:rsid w:val="004D1FD5"/>
    <w:rsid w:val="004D2555"/>
    <w:rsid w:val="004D2A24"/>
    <w:rsid w:val="004D2A86"/>
    <w:rsid w:val="004D3151"/>
    <w:rsid w:val="004D3530"/>
    <w:rsid w:val="004D365E"/>
    <w:rsid w:val="004D3755"/>
    <w:rsid w:val="004D37EF"/>
    <w:rsid w:val="004D4850"/>
    <w:rsid w:val="004D49B5"/>
    <w:rsid w:val="004D4B63"/>
    <w:rsid w:val="004D4BCA"/>
    <w:rsid w:val="004D4C35"/>
    <w:rsid w:val="004D4F0B"/>
    <w:rsid w:val="004D597E"/>
    <w:rsid w:val="004D61A3"/>
    <w:rsid w:val="004D6519"/>
    <w:rsid w:val="004D664E"/>
    <w:rsid w:val="004D68B1"/>
    <w:rsid w:val="004D6CAC"/>
    <w:rsid w:val="004D74CB"/>
    <w:rsid w:val="004D790B"/>
    <w:rsid w:val="004D7AB7"/>
    <w:rsid w:val="004D7D65"/>
    <w:rsid w:val="004E0569"/>
    <w:rsid w:val="004E0AEB"/>
    <w:rsid w:val="004E25CC"/>
    <w:rsid w:val="004E2A4A"/>
    <w:rsid w:val="004E2C0B"/>
    <w:rsid w:val="004E2F48"/>
    <w:rsid w:val="004E33D6"/>
    <w:rsid w:val="004E3451"/>
    <w:rsid w:val="004E3B09"/>
    <w:rsid w:val="004E3D8A"/>
    <w:rsid w:val="004E3E53"/>
    <w:rsid w:val="004E4088"/>
    <w:rsid w:val="004E4295"/>
    <w:rsid w:val="004E4408"/>
    <w:rsid w:val="004E45C0"/>
    <w:rsid w:val="004E45F6"/>
    <w:rsid w:val="004E4805"/>
    <w:rsid w:val="004E4964"/>
    <w:rsid w:val="004E4AB7"/>
    <w:rsid w:val="004E54AF"/>
    <w:rsid w:val="004E5915"/>
    <w:rsid w:val="004E5924"/>
    <w:rsid w:val="004E5DDC"/>
    <w:rsid w:val="004E6076"/>
    <w:rsid w:val="004E6432"/>
    <w:rsid w:val="004E687D"/>
    <w:rsid w:val="004E6B36"/>
    <w:rsid w:val="004E6B3C"/>
    <w:rsid w:val="004E6D12"/>
    <w:rsid w:val="004E7244"/>
    <w:rsid w:val="004E74D3"/>
    <w:rsid w:val="004F008E"/>
    <w:rsid w:val="004F01DF"/>
    <w:rsid w:val="004F0350"/>
    <w:rsid w:val="004F0C2E"/>
    <w:rsid w:val="004F0C38"/>
    <w:rsid w:val="004F0EF7"/>
    <w:rsid w:val="004F107A"/>
    <w:rsid w:val="004F114E"/>
    <w:rsid w:val="004F11E8"/>
    <w:rsid w:val="004F130E"/>
    <w:rsid w:val="004F1456"/>
    <w:rsid w:val="004F173A"/>
    <w:rsid w:val="004F18CF"/>
    <w:rsid w:val="004F1910"/>
    <w:rsid w:val="004F1CCA"/>
    <w:rsid w:val="004F284E"/>
    <w:rsid w:val="004F2AB5"/>
    <w:rsid w:val="004F2C94"/>
    <w:rsid w:val="004F2E03"/>
    <w:rsid w:val="004F318C"/>
    <w:rsid w:val="004F3240"/>
    <w:rsid w:val="004F3348"/>
    <w:rsid w:val="004F3687"/>
    <w:rsid w:val="004F3A07"/>
    <w:rsid w:val="004F3A3C"/>
    <w:rsid w:val="004F3BF2"/>
    <w:rsid w:val="004F3CE3"/>
    <w:rsid w:val="004F4BB5"/>
    <w:rsid w:val="004F5416"/>
    <w:rsid w:val="004F5751"/>
    <w:rsid w:val="004F5ECE"/>
    <w:rsid w:val="004F601C"/>
    <w:rsid w:val="004F60F1"/>
    <w:rsid w:val="004F6460"/>
    <w:rsid w:val="004F7359"/>
    <w:rsid w:val="004F73F3"/>
    <w:rsid w:val="004F7741"/>
    <w:rsid w:val="004F7754"/>
    <w:rsid w:val="004F78D3"/>
    <w:rsid w:val="004F795C"/>
    <w:rsid w:val="005000CA"/>
    <w:rsid w:val="0050029B"/>
    <w:rsid w:val="00500327"/>
    <w:rsid w:val="005005B0"/>
    <w:rsid w:val="00500706"/>
    <w:rsid w:val="0050096B"/>
    <w:rsid w:val="00500A3E"/>
    <w:rsid w:val="00500E98"/>
    <w:rsid w:val="00501348"/>
    <w:rsid w:val="005013B3"/>
    <w:rsid w:val="0050151B"/>
    <w:rsid w:val="00501532"/>
    <w:rsid w:val="00501776"/>
    <w:rsid w:val="00501BE0"/>
    <w:rsid w:val="00501C3F"/>
    <w:rsid w:val="00501DAF"/>
    <w:rsid w:val="00502092"/>
    <w:rsid w:val="005020EB"/>
    <w:rsid w:val="005023B3"/>
    <w:rsid w:val="00502583"/>
    <w:rsid w:val="00502706"/>
    <w:rsid w:val="00502A28"/>
    <w:rsid w:val="00502AA2"/>
    <w:rsid w:val="00502B92"/>
    <w:rsid w:val="00502FD3"/>
    <w:rsid w:val="00503218"/>
    <w:rsid w:val="005033C6"/>
    <w:rsid w:val="00503636"/>
    <w:rsid w:val="00503B4A"/>
    <w:rsid w:val="00503BFD"/>
    <w:rsid w:val="00503E13"/>
    <w:rsid w:val="005041A3"/>
    <w:rsid w:val="00504542"/>
    <w:rsid w:val="00504571"/>
    <w:rsid w:val="005046B5"/>
    <w:rsid w:val="005047E6"/>
    <w:rsid w:val="00504831"/>
    <w:rsid w:val="00504A6C"/>
    <w:rsid w:val="00504C24"/>
    <w:rsid w:val="00504D92"/>
    <w:rsid w:val="00504FEF"/>
    <w:rsid w:val="00505049"/>
    <w:rsid w:val="005055B2"/>
    <w:rsid w:val="00505658"/>
    <w:rsid w:val="005056FC"/>
    <w:rsid w:val="005057F3"/>
    <w:rsid w:val="00505EE8"/>
    <w:rsid w:val="005060C6"/>
    <w:rsid w:val="005062AE"/>
    <w:rsid w:val="00506ACF"/>
    <w:rsid w:val="00506B1C"/>
    <w:rsid w:val="00506DDF"/>
    <w:rsid w:val="00506E9A"/>
    <w:rsid w:val="00506F04"/>
    <w:rsid w:val="0050704A"/>
    <w:rsid w:val="00507714"/>
    <w:rsid w:val="00507A0E"/>
    <w:rsid w:val="00507BB1"/>
    <w:rsid w:val="00507BD0"/>
    <w:rsid w:val="00507C36"/>
    <w:rsid w:val="00507D3F"/>
    <w:rsid w:val="005103FF"/>
    <w:rsid w:val="005108F6"/>
    <w:rsid w:val="00510908"/>
    <w:rsid w:val="0051093D"/>
    <w:rsid w:val="00510CA4"/>
    <w:rsid w:val="00510D37"/>
    <w:rsid w:val="00510EFF"/>
    <w:rsid w:val="00510F56"/>
    <w:rsid w:val="00511081"/>
    <w:rsid w:val="005111EB"/>
    <w:rsid w:val="0051128B"/>
    <w:rsid w:val="0051145B"/>
    <w:rsid w:val="00511D7F"/>
    <w:rsid w:val="0051220F"/>
    <w:rsid w:val="005123D3"/>
    <w:rsid w:val="00512592"/>
    <w:rsid w:val="00513AE9"/>
    <w:rsid w:val="00513E9A"/>
    <w:rsid w:val="00513F04"/>
    <w:rsid w:val="00514028"/>
    <w:rsid w:val="00514059"/>
    <w:rsid w:val="00514451"/>
    <w:rsid w:val="00514CDD"/>
    <w:rsid w:val="005155C0"/>
    <w:rsid w:val="005157FB"/>
    <w:rsid w:val="00515AC7"/>
    <w:rsid w:val="00515E7A"/>
    <w:rsid w:val="00515E8E"/>
    <w:rsid w:val="0051631E"/>
    <w:rsid w:val="00516741"/>
    <w:rsid w:val="005167DC"/>
    <w:rsid w:val="00516957"/>
    <w:rsid w:val="00516B32"/>
    <w:rsid w:val="00516EE9"/>
    <w:rsid w:val="00517469"/>
    <w:rsid w:val="005174E5"/>
    <w:rsid w:val="00517620"/>
    <w:rsid w:val="005176DA"/>
    <w:rsid w:val="00517C57"/>
    <w:rsid w:val="00520136"/>
    <w:rsid w:val="0052075A"/>
    <w:rsid w:val="00520851"/>
    <w:rsid w:val="00520B75"/>
    <w:rsid w:val="0052114D"/>
    <w:rsid w:val="00521A79"/>
    <w:rsid w:val="00521B9F"/>
    <w:rsid w:val="00522707"/>
    <w:rsid w:val="00522C7B"/>
    <w:rsid w:val="00522CBB"/>
    <w:rsid w:val="00523026"/>
    <w:rsid w:val="00523271"/>
    <w:rsid w:val="005232D7"/>
    <w:rsid w:val="00523567"/>
    <w:rsid w:val="005235EB"/>
    <w:rsid w:val="005236C1"/>
    <w:rsid w:val="00523E90"/>
    <w:rsid w:val="00524256"/>
    <w:rsid w:val="0052426D"/>
    <w:rsid w:val="0052431C"/>
    <w:rsid w:val="00524507"/>
    <w:rsid w:val="005245FC"/>
    <w:rsid w:val="0052470A"/>
    <w:rsid w:val="005249DB"/>
    <w:rsid w:val="00524A07"/>
    <w:rsid w:val="00525252"/>
    <w:rsid w:val="005255B9"/>
    <w:rsid w:val="005258D2"/>
    <w:rsid w:val="0052590A"/>
    <w:rsid w:val="00525941"/>
    <w:rsid w:val="00525957"/>
    <w:rsid w:val="00525A83"/>
    <w:rsid w:val="00525ADB"/>
    <w:rsid w:val="00525DDD"/>
    <w:rsid w:val="00526C90"/>
    <w:rsid w:val="00526D3C"/>
    <w:rsid w:val="00526ED9"/>
    <w:rsid w:val="00527325"/>
    <w:rsid w:val="0052774C"/>
    <w:rsid w:val="00527E03"/>
    <w:rsid w:val="00527E89"/>
    <w:rsid w:val="00530423"/>
    <w:rsid w:val="005304AE"/>
    <w:rsid w:val="005308D0"/>
    <w:rsid w:val="00530C79"/>
    <w:rsid w:val="00530E84"/>
    <w:rsid w:val="005314F0"/>
    <w:rsid w:val="005318E2"/>
    <w:rsid w:val="00531DA7"/>
    <w:rsid w:val="00531EBE"/>
    <w:rsid w:val="00531F58"/>
    <w:rsid w:val="005324EC"/>
    <w:rsid w:val="00532712"/>
    <w:rsid w:val="00532934"/>
    <w:rsid w:val="00532A04"/>
    <w:rsid w:val="00532B5E"/>
    <w:rsid w:val="00532F19"/>
    <w:rsid w:val="005333AE"/>
    <w:rsid w:val="005333C6"/>
    <w:rsid w:val="005336C4"/>
    <w:rsid w:val="005337C6"/>
    <w:rsid w:val="005338F5"/>
    <w:rsid w:val="00533F64"/>
    <w:rsid w:val="0053437D"/>
    <w:rsid w:val="005346F8"/>
    <w:rsid w:val="00534859"/>
    <w:rsid w:val="00534B7F"/>
    <w:rsid w:val="00534D49"/>
    <w:rsid w:val="00534F78"/>
    <w:rsid w:val="00535257"/>
    <w:rsid w:val="0053533C"/>
    <w:rsid w:val="00535443"/>
    <w:rsid w:val="005354C4"/>
    <w:rsid w:val="00535604"/>
    <w:rsid w:val="005358F3"/>
    <w:rsid w:val="0053593D"/>
    <w:rsid w:val="00535D64"/>
    <w:rsid w:val="00535DC0"/>
    <w:rsid w:val="00536133"/>
    <w:rsid w:val="0053626D"/>
    <w:rsid w:val="00536403"/>
    <w:rsid w:val="0053679A"/>
    <w:rsid w:val="00536FF5"/>
    <w:rsid w:val="00537063"/>
    <w:rsid w:val="0053739A"/>
    <w:rsid w:val="005375DC"/>
    <w:rsid w:val="0053773C"/>
    <w:rsid w:val="00537EF6"/>
    <w:rsid w:val="00540209"/>
    <w:rsid w:val="0054123F"/>
    <w:rsid w:val="005413B8"/>
    <w:rsid w:val="0054176B"/>
    <w:rsid w:val="00541DD2"/>
    <w:rsid w:val="0054240A"/>
    <w:rsid w:val="005424CE"/>
    <w:rsid w:val="005429D0"/>
    <w:rsid w:val="00543083"/>
    <w:rsid w:val="005434FC"/>
    <w:rsid w:val="0054439F"/>
    <w:rsid w:val="00544776"/>
    <w:rsid w:val="0054492E"/>
    <w:rsid w:val="00544A84"/>
    <w:rsid w:val="00544F94"/>
    <w:rsid w:val="00545317"/>
    <w:rsid w:val="00545742"/>
    <w:rsid w:val="0054588C"/>
    <w:rsid w:val="005458B8"/>
    <w:rsid w:val="005458CA"/>
    <w:rsid w:val="00545A10"/>
    <w:rsid w:val="00545F4F"/>
    <w:rsid w:val="005461AC"/>
    <w:rsid w:val="005464F5"/>
    <w:rsid w:val="0054667B"/>
    <w:rsid w:val="005467FF"/>
    <w:rsid w:val="00546B19"/>
    <w:rsid w:val="00547044"/>
    <w:rsid w:val="005474D1"/>
    <w:rsid w:val="00547A9A"/>
    <w:rsid w:val="00547EB8"/>
    <w:rsid w:val="00547FA5"/>
    <w:rsid w:val="00550A25"/>
    <w:rsid w:val="00550CE4"/>
    <w:rsid w:val="0055180F"/>
    <w:rsid w:val="00551EAA"/>
    <w:rsid w:val="0055265C"/>
    <w:rsid w:val="0055311E"/>
    <w:rsid w:val="0055323F"/>
    <w:rsid w:val="005533B0"/>
    <w:rsid w:val="00553467"/>
    <w:rsid w:val="005534FD"/>
    <w:rsid w:val="00553796"/>
    <w:rsid w:val="00553CA8"/>
    <w:rsid w:val="00554230"/>
    <w:rsid w:val="0055439A"/>
    <w:rsid w:val="00554A5F"/>
    <w:rsid w:val="005553F0"/>
    <w:rsid w:val="00555BFF"/>
    <w:rsid w:val="00555D56"/>
    <w:rsid w:val="00555FA6"/>
    <w:rsid w:val="00556301"/>
    <w:rsid w:val="00556312"/>
    <w:rsid w:val="005571DB"/>
    <w:rsid w:val="00557828"/>
    <w:rsid w:val="00560005"/>
    <w:rsid w:val="0056067D"/>
    <w:rsid w:val="00560867"/>
    <w:rsid w:val="005608A2"/>
    <w:rsid w:val="00560D13"/>
    <w:rsid w:val="00560EF7"/>
    <w:rsid w:val="0056168A"/>
    <w:rsid w:val="00561F15"/>
    <w:rsid w:val="00561F43"/>
    <w:rsid w:val="00561FF6"/>
    <w:rsid w:val="00562131"/>
    <w:rsid w:val="00562705"/>
    <w:rsid w:val="005629D6"/>
    <w:rsid w:val="005629E5"/>
    <w:rsid w:val="00562A26"/>
    <w:rsid w:val="00562B14"/>
    <w:rsid w:val="00562C4C"/>
    <w:rsid w:val="00562F3A"/>
    <w:rsid w:val="005631EC"/>
    <w:rsid w:val="00563AFF"/>
    <w:rsid w:val="00563C44"/>
    <w:rsid w:val="00563F3C"/>
    <w:rsid w:val="00564347"/>
    <w:rsid w:val="0056438F"/>
    <w:rsid w:val="005643C5"/>
    <w:rsid w:val="0056441E"/>
    <w:rsid w:val="005651FA"/>
    <w:rsid w:val="0056538F"/>
    <w:rsid w:val="005654AF"/>
    <w:rsid w:val="005655F0"/>
    <w:rsid w:val="005657D3"/>
    <w:rsid w:val="00565B13"/>
    <w:rsid w:val="00565C2F"/>
    <w:rsid w:val="00565DEA"/>
    <w:rsid w:val="0056604E"/>
    <w:rsid w:val="0056654F"/>
    <w:rsid w:val="00566572"/>
    <w:rsid w:val="005667F0"/>
    <w:rsid w:val="00566A4D"/>
    <w:rsid w:val="00566BA0"/>
    <w:rsid w:val="00566C37"/>
    <w:rsid w:val="00566EA3"/>
    <w:rsid w:val="00566FF7"/>
    <w:rsid w:val="0056707E"/>
    <w:rsid w:val="005672B2"/>
    <w:rsid w:val="0056745E"/>
    <w:rsid w:val="00567632"/>
    <w:rsid w:val="00567897"/>
    <w:rsid w:val="00567D7E"/>
    <w:rsid w:val="00567DB5"/>
    <w:rsid w:val="00567FD4"/>
    <w:rsid w:val="00570072"/>
    <w:rsid w:val="00570152"/>
    <w:rsid w:val="0057050A"/>
    <w:rsid w:val="00570821"/>
    <w:rsid w:val="00570E40"/>
    <w:rsid w:val="00571336"/>
    <w:rsid w:val="00571B5F"/>
    <w:rsid w:val="005721E3"/>
    <w:rsid w:val="00572493"/>
    <w:rsid w:val="0057251B"/>
    <w:rsid w:val="00572720"/>
    <w:rsid w:val="00572787"/>
    <w:rsid w:val="00572E94"/>
    <w:rsid w:val="0057359B"/>
    <w:rsid w:val="005739FB"/>
    <w:rsid w:val="00573B8C"/>
    <w:rsid w:val="00573D45"/>
    <w:rsid w:val="00574EB1"/>
    <w:rsid w:val="0057528E"/>
    <w:rsid w:val="00575314"/>
    <w:rsid w:val="00575A7B"/>
    <w:rsid w:val="00575A96"/>
    <w:rsid w:val="00575AE2"/>
    <w:rsid w:val="00575D57"/>
    <w:rsid w:val="00575D7B"/>
    <w:rsid w:val="0057675A"/>
    <w:rsid w:val="00576880"/>
    <w:rsid w:val="00576941"/>
    <w:rsid w:val="00576D11"/>
    <w:rsid w:val="005771AF"/>
    <w:rsid w:val="0057748A"/>
    <w:rsid w:val="005777A9"/>
    <w:rsid w:val="00577A27"/>
    <w:rsid w:val="00577B33"/>
    <w:rsid w:val="00577B79"/>
    <w:rsid w:val="00577E63"/>
    <w:rsid w:val="00580367"/>
    <w:rsid w:val="0058046E"/>
    <w:rsid w:val="00580653"/>
    <w:rsid w:val="0058090B"/>
    <w:rsid w:val="00580ADF"/>
    <w:rsid w:val="00580B93"/>
    <w:rsid w:val="00581301"/>
    <w:rsid w:val="00581327"/>
    <w:rsid w:val="0058154E"/>
    <w:rsid w:val="00581CDD"/>
    <w:rsid w:val="00581D1E"/>
    <w:rsid w:val="005825C9"/>
    <w:rsid w:val="00582747"/>
    <w:rsid w:val="0058297E"/>
    <w:rsid w:val="00582D7F"/>
    <w:rsid w:val="005837D1"/>
    <w:rsid w:val="00583B16"/>
    <w:rsid w:val="00583B93"/>
    <w:rsid w:val="00583C05"/>
    <w:rsid w:val="00583F5C"/>
    <w:rsid w:val="00584066"/>
    <w:rsid w:val="005844C1"/>
    <w:rsid w:val="00584638"/>
    <w:rsid w:val="005848BE"/>
    <w:rsid w:val="00584B5D"/>
    <w:rsid w:val="00584C14"/>
    <w:rsid w:val="0058513B"/>
    <w:rsid w:val="00585291"/>
    <w:rsid w:val="005853F7"/>
    <w:rsid w:val="005857EB"/>
    <w:rsid w:val="00585BCA"/>
    <w:rsid w:val="00585BED"/>
    <w:rsid w:val="00585C12"/>
    <w:rsid w:val="00586508"/>
    <w:rsid w:val="00586BFA"/>
    <w:rsid w:val="00586D62"/>
    <w:rsid w:val="00587084"/>
    <w:rsid w:val="00587146"/>
    <w:rsid w:val="005878EB"/>
    <w:rsid w:val="00587C56"/>
    <w:rsid w:val="00590589"/>
    <w:rsid w:val="00590644"/>
    <w:rsid w:val="00590692"/>
    <w:rsid w:val="0059086B"/>
    <w:rsid w:val="00590AE7"/>
    <w:rsid w:val="00590C3D"/>
    <w:rsid w:val="00590F76"/>
    <w:rsid w:val="00590FE3"/>
    <w:rsid w:val="00591015"/>
    <w:rsid w:val="0059115D"/>
    <w:rsid w:val="005913A9"/>
    <w:rsid w:val="00591961"/>
    <w:rsid w:val="00591AAF"/>
    <w:rsid w:val="00591AEB"/>
    <w:rsid w:val="00591B4B"/>
    <w:rsid w:val="00591C03"/>
    <w:rsid w:val="00592078"/>
    <w:rsid w:val="005920BB"/>
    <w:rsid w:val="00592305"/>
    <w:rsid w:val="005924E1"/>
    <w:rsid w:val="005924FC"/>
    <w:rsid w:val="005926B0"/>
    <w:rsid w:val="005927FF"/>
    <w:rsid w:val="00592980"/>
    <w:rsid w:val="00592B88"/>
    <w:rsid w:val="00592C82"/>
    <w:rsid w:val="0059308B"/>
    <w:rsid w:val="00593745"/>
    <w:rsid w:val="00593823"/>
    <w:rsid w:val="005939E5"/>
    <w:rsid w:val="00593E80"/>
    <w:rsid w:val="005945AE"/>
    <w:rsid w:val="005948C1"/>
    <w:rsid w:val="00594C08"/>
    <w:rsid w:val="00594C95"/>
    <w:rsid w:val="005953A9"/>
    <w:rsid w:val="0059544B"/>
    <w:rsid w:val="0059551D"/>
    <w:rsid w:val="00595837"/>
    <w:rsid w:val="005968EE"/>
    <w:rsid w:val="00596D68"/>
    <w:rsid w:val="00596F2B"/>
    <w:rsid w:val="00596F90"/>
    <w:rsid w:val="00596FA5"/>
    <w:rsid w:val="005972B9"/>
    <w:rsid w:val="005973D3"/>
    <w:rsid w:val="005978A2"/>
    <w:rsid w:val="005978D8"/>
    <w:rsid w:val="00597F12"/>
    <w:rsid w:val="005A0234"/>
    <w:rsid w:val="005A0276"/>
    <w:rsid w:val="005A04F4"/>
    <w:rsid w:val="005A0659"/>
    <w:rsid w:val="005A095C"/>
    <w:rsid w:val="005A09DB"/>
    <w:rsid w:val="005A1078"/>
    <w:rsid w:val="005A1290"/>
    <w:rsid w:val="005A1566"/>
    <w:rsid w:val="005A1F92"/>
    <w:rsid w:val="005A21FF"/>
    <w:rsid w:val="005A27F9"/>
    <w:rsid w:val="005A2957"/>
    <w:rsid w:val="005A303D"/>
    <w:rsid w:val="005A36C0"/>
    <w:rsid w:val="005A370F"/>
    <w:rsid w:val="005A3920"/>
    <w:rsid w:val="005A4629"/>
    <w:rsid w:val="005A483D"/>
    <w:rsid w:val="005A4AF9"/>
    <w:rsid w:val="005A4BB1"/>
    <w:rsid w:val="005A4FEF"/>
    <w:rsid w:val="005A5011"/>
    <w:rsid w:val="005A50F7"/>
    <w:rsid w:val="005A5157"/>
    <w:rsid w:val="005A53DD"/>
    <w:rsid w:val="005A5685"/>
    <w:rsid w:val="005A576C"/>
    <w:rsid w:val="005A5B80"/>
    <w:rsid w:val="005A5C51"/>
    <w:rsid w:val="005A60D8"/>
    <w:rsid w:val="005A622A"/>
    <w:rsid w:val="005A66A3"/>
    <w:rsid w:val="005A6858"/>
    <w:rsid w:val="005A6C5E"/>
    <w:rsid w:val="005A6CE8"/>
    <w:rsid w:val="005A7307"/>
    <w:rsid w:val="005A7511"/>
    <w:rsid w:val="005A7AE7"/>
    <w:rsid w:val="005A7D27"/>
    <w:rsid w:val="005A7E8B"/>
    <w:rsid w:val="005B0ADC"/>
    <w:rsid w:val="005B0F3C"/>
    <w:rsid w:val="005B1862"/>
    <w:rsid w:val="005B1E0F"/>
    <w:rsid w:val="005B20E5"/>
    <w:rsid w:val="005B26BF"/>
    <w:rsid w:val="005B2920"/>
    <w:rsid w:val="005B2CC5"/>
    <w:rsid w:val="005B3BFE"/>
    <w:rsid w:val="005B3E17"/>
    <w:rsid w:val="005B3E86"/>
    <w:rsid w:val="005B3EA1"/>
    <w:rsid w:val="005B4637"/>
    <w:rsid w:val="005B49A9"/>
    <w:rsid w:val="005B4D0F"/>
    <w:rsid w:val="005B4D65"/>
    <w:rsid w:val="005B500F"/>
    <w:rsid w:val="005B538F"/>
    <w:rsid w:val="005B559C"/>
    <w:rsid w:val="005B578F"/>
    <w:rsid w:val="005B5A2D"/>
    <w:rsid w:val="005B5CDC"/>
    <w:rsid w:val="005B5D1E"/>
    <w:rsid w:val="005B5E82"/>
    <w:rsid w:val="005B6162"/>
    <w:rsid w:val="005B61BF"/>
    <w:rsid w:val="005B63D8"/>
    <w:rsid w:val="005B70E7"/>
    <w:rsid w:val="005B7181"/>
    <w:rsid w:val="005B7230"/>
    <w:rsid w:val="005B72CE"/>
    <w:rsid w:val="005B797A"/>
    <w:rsid w:val="005B79D4"/>
    <w:rsid w:val="005B7AD0"/>
    <w:rsid w:val="005C018D"/>
    <w:rsid w:val="005C0305"/>
    <w:rsid w:val="005C0D34"/>
    <w:rsid w:val="005C0DFC"/>
    <w:rsid w:val="005C1787"/>
    <w:rsid w:val="005C2023"/>
    <w:rsid w:val="005C20D2"/>
    <w:rsid w:val="005C246B"/>
    <w:rsid w:val="005C2556"/>
    <w:rsid w:val="005C27FC"/>
    <w:rsid w:val="005C2C4C"/>
    <w:rsid w:val="005C31C5"/>
    <w:rsid w:val="005C39C1"/>
    <w:rsid w:val="005C3B05"/>
    <w:rsid w:val="005C3D1D"/>
    <w:rsid w:val="005C4288"/>
    <w:rsid w:val="005C43A3"/>
    <w:rsid w:val="005C4485"/>
    <w:rsid w:val="005C4DF1"/>
    <w:rsid w:val="005C4ECA"/>
    <w:rsid w:val="005C516F"/>
    <w:rsid w:val="005C5472"/>
    <w:rsid w:val="005C565F"/>
    <w:rsid w:val="005C57DF"/>
    <w:rsid w:val="005C5889"/>
    <w:rsid w:val="005C59A5"/>
    <w:rsid w:val="005C5D48"/>
    <w:rsid w:val="005C5E4B"/>
    <w:rsid w:val="005C602A"/>
    <w:rsid w:val="005C63D6"/>
    <w:rsid w:val="005C66BC"/>
    <w:rsid w:val="005C6BB4"/>
    <w:rsid w:val="005C6EC6"/>
    <w:rsid w:val="005C7884"/>
    <w:rsid w:val="005C79DF"/>
    <w:rsid w:val="005C7E95"/>
    <w:rsid w:val="005D05C6"/>
    <w:rsid w:val="005D076B"/>
    <w:rsid w:val="005D0B3D"/>
    <w:rsid w:val="005D0F64"/>
    <w:rsid w:val="005D12EF"/>
    <w:rsid w:val="005D1300"/>
    <w:rsid w:val="005D1427"/>
    <w:rsid w:val="005D1579"/>
    <w:rsid w:val="005D240D"/>
    <w:rsid w:val="005D2633"/>
    <w:rsid w:val="005D26FB"/>
    <w:rsid w:val="005D2829"/>
    <w:rsid w:val="005D2D52"/>
    <w:rsid w:val="005D3C53"/>
    <w:rsid w:val="005D3C59"/>
    <w:rsid w:val="005D3F34"/>
    <w:rsid w:val="005D44A8"/>
    <w:rsid w:val="005D45AA"/>
    <w:rsid w:val="005D464B"/>
    <w:rsid w:val="005D4D13"/>
    <w:rsid w:val="005D4E1E"/>
    <w:rsid w:val="005D52ED"/>
    <w:rsid w:val="005D57F1"/>
    <w:rsid w:val="005D5AB3"/>
    <w:rsid w:val="005D5BA0"/>
    <w:rsid w:val="005D621D"/>
    <w:rsid w:val="005D6334"/>
    <w:rsid w:val="005D65C9"/>
    <w:rsid w:val="005D67CC"/>
    <w:rsid w:val="005D68EA"/>
    <w:rsid w:val="005D69D5"/>
    <w:rsid w:val="005D6A25"/>
    <w:rsid w:val="005D7395"/>
    <w:rsid w:val="005D758D"/>
    <w:rsid w:val="005D7963"/>
    <w:rsid w:val="005E0221"/>
    <w:rsid w:val="005E080C"/>
    <w:rsid w:val="005E0B89"/>
    <w:rsid w:val="005E13A5"/>
    <w:rsid w:val="005E1615"/>
    <w:rsid w:val="005E198F"/>
    <w:rsid w:val="005E1FD4"/>
    <w:rsid w:val="005E208A"/>
    <w:rsid w:val="005E21E0"/>
    <w:rsid w:val="005E2775"/>
    <w:rsid w:val="005E2896"/>
    <w:rsid w:val="005E289E"/>
    <w:rsid w:val="005E2901"/>
    <w:rsid w:val="005E2BB3"/>
    <w:rsid w:val="005E2CA5"/>
    <w:rsid w:val="005E315A"/>
    <w:rsid w:val="005E3169"/>
    <w:rsid w:val="005E331F"/>
    <w:rsid w:val="005E350C"/>
    <w:rsid w:val="005E38CB"/>
    <w:rsid w:val="005E40C8"/>
    <w:rsid w:val="005E4132"/>
    <w:rsid w:val="005E46AF"/>
    <w:rsid w:val="005E4B4F"/>
    <w:rsid w:val="005E4D62"/>
    <w:rsid w:val="005E509B"/>
    <w:rsid w:val="005E5690"/>
    <w:rsid w:val="005E5A67"/>
    <w:rsid w:val="005E6828"/>
    <w:rsid w:val="005E69B4"/>
    <w:rsid w:val="005E69EB"/>
    <w:rsid w:val="005E6B0A"/>
    <w:rsid w:val="005E6FB8"/>
    <w:rsid w:val="005E71A4"/>
    <w:rsid w:val="005E73A1"/>
    <w:rsid w:val="005E7A2E"/>
    <w:rsid w:val="005E7C84"/>
    <w:rsid w:val="005F0126"/>
    <w:rsid w:val="005F0834"/>
    <w:rsid w:val="005F0AEF"/>
    <w:rsid w:val="005F1046"/>
    <w:rsid w:val="005F1176"/>
    <w:rsid w:val="005F19BB"/>
    <w:rsid w:val="005F1C85"/>
    <w:rsid w:val="005F1E5C"/>
    <w:rsid w:val="005F1ED1"/>
    <w:rsid w:val="005F21ED"/>
    <w:rsid w:val="005F2968"/>
    <w:rsid w:val="005F2A8F"/>
    <w:rsid w:val="005F2BC7"/>
    <w:rsid w:val="005F33E4"/>
    <w:rsid w:val="005F36DB"/>
    <w:rsid w:val="005F3C9F"/>
    <w:rsid w:val="005F3DA1"/>
    <w:rsid w:val="005F4494"/>
    <w:rsid w:val="005F5037"/>
    <w:rsid w:val="005F51D4"/>
    <w:rsid w:val="005F53C7"/>
    <w:rsid w:val="005F568C"/>
    <w:rsid w:val="005F588B"/>
    <w:rsid w:val="005F5EE6"/>
    <w:rsid w:val="005F669B"/>
    <w:rsid w:val="005F67FC"/>
    <w:rsid w:val="005F6A4B"/>
    <w:rsid w:val="005F6D47"/>
    <w:rsid w:val="005F6E10"/>
    <w:rsid w:val="005F72D4"/>
    <w:rsid w:val="005F74FA"/>
    <w:rsid w:val="005F7623"/>
    <w:rsid w:val="005F7719"/>
    <w:rsid w:val="005F796F"/>
    <w:rsid w:val="005F7A2F"/>
    <w:rsid w:val="0060025D"/>
    <w:rsid w:val="00600309"/>
    <w:rsid w:val="00600897"/>
    <w:rsid w:val="00600A33"/>
    <w:rsid w:val="00600BB1"/>
    <w:rsid w:val="00600E99"/>
    <w:rsid w:val="006012EB"/>
    <w:rsid w:val="00601A39"/>
    <w:rsid w:val="00601A5C"/>
    <w:rsid w:val="00601C08"/>
    <w:rsid w:val="00602315"/>
    <w:rsid w:val="006029F3"/>
    <w:rsid w:val="00602D90"/>
    <w:rsid w:val="00602F4C"/>
    <w:rsid w:val="00603054"/>
    <w:rsid w:val="006030B4"/>
    <w:rsid w:val="006035ED"/>
    <w:rsid w:val="00603930"/>
    <w:rsid w:val="00603E9A"/>
    <w:rsid w:val="00603F8D"/>
    <w:rsid w:val="00604261"/>
    <w:rsid w:val="0060447F"/>
    <w:rsid w:val="006056F1"/>
    <w:rsid w:val="006059F9"/>
    <w:rsid w:val="006066B2"/>
    <w:rsid w:val="00606721"/>
    <w:rsid w:val="006069F8"/>
    <w:rsid w:val="00606D7E"/>
    <w:rsid w:val="0060703F"/>
    <w:rsid w:val="0060793B"/>
    <w:rsid w:val="0061049F"/>
    <w:rsid w:val="00610688"/>
    <w:rsid w:val="00610C65"/>
    <w:rsid w:val="00610D4A"/>
    <w:rsid w:val="00610E23"/>
    <w:rsid w:val="00611044"/>
    <w:rsid w:val="00611315"/>
    <w:rsid w:val="00611D2F"/>
    <w:rsid w:val="0061218F"/>
    <w:rsid w:val="00612E58"/>
    <w:rsid w:val="00612EB2"/>
    <w:rsid w:val="00613204"/>
    <w:rsid w:val="00613B37"/>
    <w:rsid w:val="00613CF6"/>
    <w:rsid w:val="006145D8"/>
    <w:rsid w:val="0061467D"/>
    <w:rsid w:val="0061480E"/>
    <w:rsid w:val="00614AA3"/>
    <w:rsid w:val="00614B58"/>
    <w:rsid w:val="00614B9E"/>
    <w:rsid w:val="00614C62"/>
    <w:rsid w:val="00615682"/>
    <w:rsid w:val="00615F51"/>
    <w:rsid w:val="0061688C"/>
    <w:rsid w:val="00616AA5"/>
    <w:rsid w:val="00616E6E"/>
    <w:rsid w:val="0061758C"/>
    <w:rsid w:val="00617CC2"/>
    <w:rsid w:val="00620027"/>
    <w:rsid w:val="0062008D"/>
    <w:rsid w:val="00620466"/>
    <w:rsid w:val="00620EE1"/>
    <w:rsid w:val="00621210"/>
    <w:rsid w:val="006214D3"/>
    <w:rsid w:val="00621982"/>
    <w:rsid w:val="00621AD9"/>
    <w:rsid w:val="00621EB4"/>
    <w:rsid w:val="00622145"/>
    <w:rsid w:val="00622C2A"/>
    <w:rsid w:val="00622D80"/>
    <w:rsid w:val="00623349"/>
    <w:rsid w:val="0062355C"/>
    <w:rsid w:val="00623673"/>
    <w:rsid w:val="00623C01"/>
    <w:rsid w:val="00623CA6"/>
    <w:rsid w:val="00623CF2"/>
    <w:rsid w:val="00623E62"/>
    <w:rsid w:val="0062408B"/>
    <w:rsid w:val="006240DD"/>
    <w:rsid w:val="006249BA"/>
    <w:rsid w:val="00624C21"/>
    <w:rsid w:val="00624C90"/>
    <w:rsid w:val="00624CD1"/>
    <w:rsid w:val="00625093"/>
    <w:rsid w:val="00625119"/>
    <w:rsid w:val="00625216"/>
    <w:rsid w:val="006255ED"/>
    <w:rsid w:val="00625757"/>
    <w:rsid w:val="00625762"/>
    <w:rsid w:val="00625833"/>
    <w:rsid w:val="006259AA"/>
    <w:rsid w:val="00625BBA"/>
    <w:rsid w:val="00626685"/>
    <w:rsid w:val="00626CFB"/>
    <w:rsid w:val="00626DDF"/>
    <w:rsid w:val="00627223"/>
    <w:rsid w:val="006273F4"/>
    <w:rsid w:val="0062776C"/>
    <w:rsid w:val="00627D63"/>
    <w:rsid w:val="00627D8B"/>
    <w:rsid w:val="00630675"/>
    <w:rsid w:val="006309C0"/>
    <w:rsid w:val="00630A58"/>
    <w:rsid w:val="0063172C"/>
    <w:rsid w:val="00631789"/>
    <w:rsid w:val="0063190F"/>
    <w:rsid w:val="0063203D"/>
    <w:rsid w:val="006320F1"/>
    <w:rsid w:val="0063250F"/>
    <w:rsid w:val="006328F3"/>
    <w:rsid w:val="006329FE"/>
    <w:rsid w:val="00632D68"/>
    <w:rsid w:val="00632E1C"/>
    <w:rsid w:val="00632E7B"/>
    <w:rsid w:val="00633168"/>
    <w:rsid w:val="006331BF"/>
    <w:rsid w:val="00633265"/>
    <w:rsid w:val="006334C1"/>
    <w:rsid w:val="00633631"/>
    <w:rsid w:val="00633723"/>
    <w:rsid w:val="00633975"/>
    <w:rsid w:val="006345C8"/>
    <w:rsid w:val="00635602"/>
    <w:rsid w:val="0063576D"/>
    <w:rsid w:val="00635984"/>
    <w:rsid w:val="00635A99"/>
    <w:rsid w:val="00635F46"/>
    <w:rsid w:val="00636D00"/>
    <w:rsid w:val="00637420"/>
    <w:rsid w:val="00637507"/>
    <w:rsid w:val="00637740"/>
    <w:rsid w:val="00637C61"/>
    <w:rsid w:val="00637E3C"/>
    <w:rsid w:val="006400E5"/>
    <w:rsid w:val="00640120"/>
    <w:rsid w:val="00640427"/>
    <w:rsid w:val="006405E4"/>
    <w:rsid w:val="00640B36"/>
    <w:rsid w:val="00640CEE"/>
    <w:rsid w:val="00640F6D"/>
    <w:rsid w:val="006411D1"/>
    <w:rsid w:val="00641543"/>
    <w:rsid w:val="006419FD"/>
    <w:rsid w:val="006423F3"/>
    <w:rsid w:val="006424EE"/>
    <w:rsid w:val="006426EA"/>
    <w:rsid w:val="006426FB"/>
    <w:rsid w:val="00642A99"/>
    <w:rsid w:val="00642C90"/>
    <w:rsid w:val="00642DE8"/>
    <w:rsid w:val="0064314E"/>
    <w:rsid w:val="006432F8"/>
    <w:rsid w:val="00643669"/>
    <w:rsid w:val="00643758"/>
    <w:rsid w:val="00643E88"/>
    <w:rsid w:val="00644326"/>
    <w:rsid w:val="00644660"/>
    <w:rsid w:val="0064477A"/>
    <w:rsid w:val="00644B00"/>
    <w:rsid w:val="00644E88"/>
    <w:rsid w:val="006452AA"/>
    <w:rsid w:val="006454E9"/>
    <w:rsid w:val="006456DE"/>
    <w:rsid w:val="00645846"/>
    <w:rsid w:val="00645C15"/>
    <w:rsid w:val="00645C9E"/>
    <w:rsid w:val="0064600C"/>
    <w:rsid w:val="00646036"/>
    <w:rsid w:val="00646245"/>
    <w:rsid w:val="0064626E"/>
    <w:rsid w:val="00646600"/>
    <w:rsid w:val="0064662D"/>
    <w:rsid w:val="00646DB8"/>
    <w:rsid w:val="006472E6"/>
    <w:rsid w:val="00647300"/>
    <w:rsid w:val="00647582"/>
    <w:rsid w:val="00647661"/>
    <w:rsid w:val="00647FCF"/>
    <w:rsid w:val="00650181"/>
    <w:rsid w:val="0065084D"/>
    <w:rsid w:val="0065098F"/>
    <w:rsid w:val="00650A04"/>
    <w:rsid w:val="006513BC"/>
    <w:rsid w:val="0065149B"/>
    <w:rsid w:val="0065160E"/>
    <w:rsid w:val="00651BDD"/>
    <w:rsid w:val="006524C1"/>
    <w:rsid w:val="00652A18"/>
    <w:rsid w:val="00652A79"/>
    <w:rsid w:val="00652D4C"/>
    <w:rsid w:val="0065305C"/>
    <w:rsid w:val="0065336B"/>
    <w:rsid w:val="0065352F"/>
    <w:rsid w:val="00653741"/>
    <w:rsid w:val="006537C9"/>
    <w:rsid w:val="00653817"/>
    <w:rsid w:val="006539D4"/>
    <w:rsid w:val="00653AD6"/>
    <w:rsid w:val="00654036"/>
    <w:rsid w:val="0065412A"/>
    <w:rsid w:val="0065489C"/>
    <w:rsid w:val="0065493E"/>
    <w:rsid w:val="00654AAE"/>
    <w:rsid w:val="00654CA6"/>
    <w:rsid w:val="00654DA8"/>
    <w:rsid w:val="00654F01"/>
    <w:rsid w:val="00655435"/>
    <w:rsid w:val="006556AF"/>
    <w:rsid w:val="0065572F"/>
    <w:rsid w:val="006557C7"/>
    <w:rsid w:val="006558C6"/>
    <w:rsid w:val="00655A8D"/>
    <w:rsid w:val="00656281"/>
    <w:rsid w:val="0065636A"/>
    <w:rsid w:val="0065656B"/>
    <w:rsid w:val="006567CD"/>
    <w:rsid w:val="00656C05"/>
    <w:rsid w:val="006576A3"/>
    <w:rsid w:val="006578A4"/>
    <w:rsid w:val="00657ECC"/>
    <w:rsid w:val="006600A5"/>
    <w:rsid w:val="006604EB"/>
    <w:rsid w:val="0066084E"/>
    <w:rsid w:val="00660E53"/>
    <w:rsid w:val="00660E99"/>
    <w:rsid w:val="00661573"/>
    <w:rsid w:val="006615CB"/>
    <w:rsid w:val="00661700"/>
    <w:rsid w:val="006617AA"/>
    <w:rsid w:val="006617E2"/>
    <w:rsid w:val="00661BE8"/>
    <w:rsid w:val="00662052"/>
    <w:rsid w:val="00662CB5"/>
    <w:rsid w:val="0066330E"/>
    <w:rsid w:val="00663460"/>
    <w:rsid w:val="00663590"/>
    <w:rsid w:val="006635B9"/>
    <w:rsid w:val="00663E70"/>
    <w:rsid w:val="006646E7"/>
    <w:rsid w:val="00664A57"/>
    <w:rsid w:val="00664C3B"/>
    <w:rsid w:val="00665044"/>
    <w:rsid w:val="006650BD"/>
    <w:rsid w:val="006654EF"/>
    <w:rsid w:val="00665E04"/>
    <w:rsid w:val="00665ED2"/>
    <w:rsid w:val="00666585"/>
    <w:rsid w:val="006665EF"/>
    <w:rsid w:val="00666606"/>
    <w:rsid w:val="00666654"/>
    <w:rsid w:val="006672F1"/>
    <w:rsid w:val="00670132"/>
    <w:rsid w:val="006701F4"/>
    <w:rsid w:val="006704CA"/>
    <w:rsid w:val="00670639"/>
    <w:rsid w:val="0067088E"/>
    <w:rsid w:val="00670C77"/>
    <w:rsid w:val="006716CE"/>
    <w:rsid w:val="00671BED"/>
    <w:rsid w:val="00671D4E"/>
    <w:rsid w:val="00671FD7"/>
    <w:rsid w:val="0067212C"/>
    <w:rsid w:val="00672287"/>
    <w:rsid w:val="0067241D"/>
    <w:rsid w:val="0067247E"/>
    <w:rsid w:val="006726D1"/>
    <w:rsid w:val="006727CC"/>
    <w:rsid w:val="0067283D"/>
    <w:rsid w:val="00672A16"/>
    <w:rsid w:val="00672B72"/>
    <w:rsid w:val="00672DE5"/>
    <w:rsid w:val="00672E74"/>
    <w:rsid w:val="006730EE"/>
    <w:rsid w:val="006736D5"/>
    <w:rsid w:val="0067381B"/>
    <w:rsid w:val="00673AA8"/>
    <w:rsid w:val="00673E36"/>
    <w:rsid w:val="00674241"/>
    <w:rsid w:val="006742AF"/>
    <w:rsid w:val="00674616"/>
    <w:rsid w:val="006748B3"/>
    <w:rsid w:val="00674C61"/>
    <w:rsid w:val="00675243"/>
    <w:rsid w:val="00675B20"/>
    <w:rsid w:val="006764A1"/>
    <w:rsid w:val="00676A4D"/>
    <w:rsid w:val="00676EAE"/>
    <w:rsid w:val="00676ED4"/>
    <w:rsid w:val="00677094"/>
    <w:rsid w:val="00677773"/>
    <w:rsid w:val="0068019D"/>
    <w:rsid w:val="0068023D"/>
    <w:rsid w:val="0068035A"/>
    <w:rsid w:val="00681067"/>
    <w:rsid w:val="00681529"/>
    <w:rsid w:val="006816A7"/>
    <w:rsid w:val="006817BB"/>
    <w:rsid w:val="006818F0"/>
    <w:rsid w:val="00681AF4"/>
    <w:rsid w:val="00681E9B"/>
    <w:rsid w:val="0068211E"/>
    <w:rsid w:val="00682388"/>
    <w:rsid w:val="006829FC"/>
    <w:rsid w:val="00682A12"/>
    <w:rsid w:val="00682BE4"/>
    <w:rsid w:val="00682CB5"/>
    <w:rsid w:val="00682DCD"/>
    <w:rsid w:val="00682E43"/>
    <w:rsid w:val="0068343A"/>
    <w:rsid w:val="00683631"/>
    <w:rsid w:val="0068399F"/>
    <w:rsid w:val="00683DA5"/>
    <w:rsid w:val="00684286"/>
    <w:rsid w:val="006843BE"/>
    <w:rsid w:val="00684663"/>
    <w:rsid w:val="006847EA"/>
    <w:rsid w:val="006848CC"/>
    <w:rsid w:val="00684C0B"/>
    <w:rsid w:val="006853D6"/>
    <w:rsid w:val="00685896"/>
    <w:rsid w:val="00685DA2"/>
    <w:rsid w:val="0068615C"/>
    <w:rsid w:val="006864F0"/>
    <w:rsid w:val="00686516"/>
    <w:rsid w:val="0068720C"/>
    <w:rsid w:val="00687930"/>
    <w:rsid w:val="00687C74"/>
    <w:rsid w:val="00687D42"/>
    <w:rsid w:val="00687DE8"/>
    <w:rsid w:val="00687FB1"/>
    <w:rsid w:val="00687FCB"/>
    <w:rsid w:val="00690101"/>
    <w:rsid w:val="0069034B"/>
    <w:rsid w:val="00690576"/>
    <w:rsid w:val="00690799"/>
    <w:rsid w:val="0069099B"/>
    <w:rsid w:val="00690AC0"/>
    <w:rsid w:val="00690BAF"/>
    <w:rsid w:val="0069110E"/>
    <w:rsid w:val="00691C4E"/>
    <w:rsid w:val="00692265"/>
    <w:rsid w:val="00693176"/>
    <w:rsid w:val="0069366B"/>
    <w:rsid w:val="00693858"/>
    <w:rsid w:val="00693F19"/>
    <w:rsid w:val="006941CA"/>
    <w:rsid w:val="0069420A"/>
    <w:rsid w:val="006942DD"/>
    <w:rsid w:val="0069453F"/>
    <w:rsid w:val="0069458C"/>
    <w:rsid w:val="00694D76"/>
    <w:rsid w:val="00695B93"/>
    <w:rsid w:val="0069635B"/>
    <w:rsid w:val="00696A5F"/>
    <w:rsid w:val="00696C20"/>
    <w:rsid w:val="0069743F"/>
    <w:rsid w:val="0069745E"/>
    <w:rsid w:val="00697998"/>
    <w:rsid w:val="00697B13"/>
    <w:rsid w:val="006A0804"/>
    <w:rsid w:val="006A0C6F"/>
    <w:rsid w:val="006A10BB"/>
    <w:rsid w:val="006A10E0"/>
    <w:rsid w:val="006A13C8"/>
    <w:rsid w:val="006A15B2"/>
    <w:rsid w:val="006A17B2"/>
    <w:rsid w:val="006A1B3A"/>
    <w:rsid w:val="006A2156"/>
    <w:rsid w:val="006A2322"/>
    <w:rsid w:val="006A24F5"/>
    <w:rsid w:val="006A25E2"/>
    <w:rsid w:val="006A283A"/>
    <w:rsid w:val="006A2D21"/>
    <w:rsid w:val="006A3172"/>
    <w:rsid w:val="006A32CA"/>
    <w:rsid w:val="006A34E5"/>
    <w:rsid w:val="006A34FF"/>
    <w:rsid w:val="006A381B"/>
    <w:rsid w:val="006A38E2"/>
    <w:rsid w:val="006A394F"/>
    <w:rsid w:val="006A3AB4"/>
    <w:rsid w:val="006A3F3F"/>
    <w:rsid w:val="006A434C"/>
    <w:rsid w:val="006A47BC"/>
    <w:rsid w:val="006A4B8E"/>
    <w:rsid w:val="006A4ED8"/>
    <w:rsid w:val="006A4EDA"/>
    <w:rsid w:val="006A4FC1"/>
    <w:rsid w:val="006A55EE"/>
    <w:rsid w:val="006A582C"/>
    <w:rsid w:val="006A5BDD"/>
    <w:rsid w:val="006A60A9"/>
    <w:rsid w:val="006A652F"/>
    <w:rsid w:val="006A6FC4"/>
    <w:rsid w:val="006A7038"/>
    <w:rsid w:val="006A70DA"/>
    <w:rsid w:val="006A7C2B"/>
    <w:rsid w:val="006B01E4"/>
    <w:rsid w:val="006B020E"/>
    <w:rsid w:val="006B04E2"/>
    <w:rsid w:val="006B074E"/>
    <w:rsid w:val="006B0AC3"/>
    <w:rsid w:val="006B16DD"/>
    <w:rsid w:val="006B1800"/>
    <w:rsid w:val="006B1E54"/>
    <w:rsid w:val="006B1EB1"/>
    <w:rsid w:val="006B2012"/>
    <w:rsid w:val="006B21D0"/>
    <w:rsid w:val="006B2601"/>
    <w:rsid w:val="006B2D76"/>
    <w:rsid w:val="006B343B"/>
    <w:rsid w:val="006B395F"/>
    <w:rsid w:val="006B3CFE"/>
    <w:rsid w:val="006B4231"/>
    <w:rsid w:val="006B42D4"/>
    <w:rsid w:val="006B4465"/>
    <w:rsid w:val="006B4487"/>
    <w:rsid w:val="006B4590"/>
    <w:rsid w:val="006B4685"/>
    <w:rsid w:val="006B4761"/>
    <w:rsid w:val="006B4930"/>
    <w:rsid w:val="006B4CCC"/>
    <w:rsid w:val="006B4EEA"/>
    <w:rsid w:val="006B54D4"/>
    <w:rsid w:val="006B576F"/>
    <w:rsid w:val="006B6256"/>
    <w:rsid w:val="006B6570"/>
    <w:rsid w:val="006B666E"/>
    <w:rsid w:val="006B6741"/>
    <w:rsid w:val="006B6B4E"/>
    <w:rsid w:val="006B6BD8"/>
    <w:rsid w:val="006B6BE5"/>
    <w:rsid w:val="006B744A"/>
    <w:rsid w:val="006B7F2A"/>
    <w:rsid w:val="006C00CB"/>
    <w:rsid w:val="006C00DA"/>
    <w:rsid w:val="006C054C"/>
    <w:rsid w:val="006C05CC"/>
    <w:rsid w:val="006C0853"/>
    <w:rsid w:val="006C0A8A"/>
    <w:rsid w:val="006C0F00"/>
    <w:rsid w:val="006C1362"/>
    <w:rsid w:val="006C2432"/>
    <w:rsid w:val="006C357D"/>
    <w:rsid w:val="006C35FC"/>
    <w:rsid w:val="006C3A51"/>
    <w:rsid w:val="006C4536"/>
    <w:rsid w:val="006C4C73"/>
    <w:rsid w:val="006C4DCB"/>
    <w:rsid w:val="006C52C0"/>
    <w:rsid w:val="006C5513"/>
    <w:rsid w:val="006C5809"/>
    <w:rsid w:val="006C580E"/>
    <w:rsid w:val="006C5815"/>
    <w:rsid w:val="006C5AFC"/>
    <w:rsid w:val="006C6054"/>
    <w:rsid w:val="006C6645"/>
    <w:rsid w:val="006C671F"/>
    <w:rsid w:val="006C6721"/>
    <w:rsid w:val="006C67FF"/>
    <w:rsid w:val="006C6908"/>
    <w:rsid w:val="006C693C"/>
    <w:rsid w:val="006C6E5C"/>
    <w:rsid w:val="006C78CE"/>
    <w:rsid w:val="006C7C0A"/>
    <w:rsid w:val="006C7CEE"/>
    <w:rsid w:val="006C7E59"/>
    <w:rsid w:val="006C7F1D"/>
    <w:rsid w:val="006D00D6"/>
    <w:rsid w:val="006D0241"/>
    <w:rsid w:val="006D03C8"/>
    <w:rsid w:val="006D044F"/>
    <w:rsid w:val="006D0582"/>
    <w:rsid w:val="006D08AC"/>
    <w:rsid w:val="006D0918"/>
    <w:rsid w:val="006D0C4D"/>
    <w:rsid w:val="006D0C74"/>
    <w:rsid w:val="006D0DD3"/>
    <w:rsid w:val="006D0E50"/>
    <w:rsid w:val="006D1218"/>
    <w:rsid w:val="006D1250"/>
    <w:rsid w:val="006D1271"/>
    <w:rsid w:val="006D1670"/>
    <w:rsid w:val="006D1D52"/>
    <w:rsid w:val="006D22D1"/>
    <w:rsid w:val="006D299A"/>
    <w:rsid w:val="006D3059"/>
    <w:rsid w:val="006D3C00"/>
    <w:rsid w:val="006D3F76"/>
    <w:rsid w:val="006D4465"/>
    <w:rsid w:val="006D4684"/>
    <w:rsid w:val="006D48D3"/>
    <w:rsid w:val="006D494C"/>
    <w:rsid w:val="006D50E4"/>
    <w:rsid w:val="006D5304"/>
    <w:rsid w:val="006D56FB"/>
    <w:rsid w:val="006D5A92"/>
    <w:rsid w:val="006D5ADD"/>
    <w:rsid w:val="006D5FAF"/>
    <w:rsid w:val="006D6365"/>
    <w:rsid w:val="006D6388"/>
    <w:rsid w:val="006D6435"/>
    <w:rsid w:val="006D66BF"/>
    <w:rsid w:val="006D6807"/>
    <w:rsid w:val="006D69B5"/>
    <w:rsid w:val="006D6FAF"/>
    <w:rsid w:val="006D7052"/>
    <w:rsid w:val="006D70E6"/>
    <w:rsid w:val="006D740E"/>
    <w:rsid w:val="006D7542"/>
    <w:rsid w:val="006D7E44"/>
    <w:rsid w:val="006E0284"/>
    <w:rsid w:val="006E05F1"/>
    <w:rsid w:val="006E0681"/>
    <w:rsid w:val="006E0988"/>
    <w:rsid w:val="006E0C56"/>
    <w:rsid w:val="006E0D16"/>
    <w:rsid w:val="006E0FF8"/>
    <w:rsid w:val="006E1124"/>
    <w:rsid w:val="006E153B"/>
    <w:rsid w:val="006E1580"/>
    <w:rsid w:val="006E15B5"/>
    <w:rsid w:val="006E17A1"/>
    <w:rsid w:val="006E1AB5"/>
    <w:rsid w:val="006E1E3F"/>
    <w:rsid w:val="006E1F3E"/>
    <w:rsid w:val="006E1F47"/>
    <w:rsid w:val="006E2299"/>
    <w:rsid w:val="006E22B7"/>
    <w:rsid w:val="006E278E"/>
    <w:rsid w:val="006E2CC5"/>
    <w:rsid w:val="006E2D48"/>
    <w:rsid w:val="006E2DC5"/>
    <w:rsid w:val="006E3063"/>
    <w:rsid w:val="006E31D0"/>
    <w:rsid w:val="006E412C"/>
    <w:rsid w:val="006E4714"/>
    <w:rsid w:val="006E4AFC"/>
    <w:rsid w:val="006E4B35"/>
    <w:rsid w:val="006E569D"/>
    <w:rsid w:val="006E606D"/>
    <w:rsid w:val="006E617A"/>
    <w:rsid w:val="006E62EE"/>
    <w:rsid w:val="006E6598"/>
    <w:rsid w:val="006E6D66"/>
    <w:rsid w:val="006E6F5A"/>
    <w:rsid w:val="006E70DA"/>
    <w:rsid w:val="006E71DA"/>
    <w:rsid w:val="006E73A5"/>
    <w:rsid w:val="006E783A"/>
    <w:rsid w:val="006E7892"/>
    <w:rsid w:val="006E790F"/>
    <w:rsid w:val="006E7975"/>
    <w:rsid w:val="006E7A2B"/>
    <w:rsid w:val="006E7AA5"/>
    <w:rsid w:val="006E7B2C"/>
    <w:rsid w:val="006E7D70"/>
    <w:rsid w:val="006E7F3D"/>
    <w:rsid w:val="006F013C"/>
    <w:rsid w:val="006F02E5"/>
    <w:rsid w:val="006F089A"/>
    <w:rsid w:val="006F1008"/>
    <w:rsid w:val="006F101B"/>
    <w:rsid w:val="006F1540"/>
    <w:rsid w:val="006F15B3"/>
    <w:rsid w:val="006F15C6"/>
    <w:rsid w:val="006F171A"/>
    <w:rsid w:val="006F1749"/>
    <w:rsid w:val="006F19D2"/>
    <w:rsid w:val="006F1D40"/>
    <w:rsid w:val="006F1F22"/>
    <w:rsid w:val="006F22C6"/>
    <w:rsid w:val="006F2432"/>
    <w:rsid w:val="006F29F0"/>
    <w:rsid w:val="006F2AA3"/>
    <w:rsid w:val="006F2E18"/>
    <w:rsid w:val="006F2EB1"/>
    <w:rsid w:val="006F2FFB"/>
    <w:rsid w:val="006F3AB5"/>
    <w:rsid w:val="006F3B88"/>
    <w:rsid w:val="006F3D63"/>
    <w:rsid w:val="006F3F45"/>
    <w:rsid w:val="006F3FB5"/>
    <w:rsid w:val="006F4030"/>
    <w:rsid w:val="006F4210"/>
    <w:rsid w:val="006F4317"/>
    <w:rsid w:val="006F44D9"/>
    <w:rsid w:val="006F4562"/>
    <w:rsid w:val="006F4832"/>
    <w:rsid w:val="006F4CAF"/>
    <w:rsid w:val="006F4D36"/>
    <w:rsid w:val="006F4E1D"/>
    <w:rsid w:val="006F4EC5"/>
    <w:rsid w:val="006F4FD4"/>
    <w:rsid w:val="006F4FDC"/>
    <w:rsid w:val="006F531D"/>
    <w:rsid w:val="006F5360"/>
    <w:rsid w:val="006F5967"/>
    <w:rsid w:val="006F5BB5"/>
    <w:rsid w:val="006F630F"/>
    <w:rsid w:val="006F67FE"/>
    <w:rsid w:val="006F6929"/>
    <w:rsid w:val="006F6F84"/>
    <w:rsid w:val="006F7B48"/>
    <w:rsid w:val="006F7C3F"/>
    <w:rsid w:val="007000CC"/>
    <w:rsid w:val="00700763"/>
    <w:rsid w:val="00700818"/>
    <w:rsid w:val="0070091F"/>
    <w:rsid w:val="00700BFA"/>
    <w:rsid w:val="007017D4"/>
    <w:rsid w:val="007017E4"/>
    <w:rsid w:val="0070202E"/>
    <w:rsid w:val="0070222D"/>
    <w:rsid w:val="0070243F"/>
    <w:rsid w:val="00702A78"/>
    <w:rsid w:val="00702BEF"/>
    <w:rsid w:val="00702D28"/>
    <w:rsid w:val="0070302B"/>
    <w:rsid w:val="007031E0"/>
    <w:rsid w:val="007037F9"/>
    <w:rsid w:val="00703880"/>
    <w:rsid w:val="007042AC"/>
    <w:rsid w:val="007046E9"/>
    <w:rsid w:val="007047E9"/>
    <w:rsid w:val="00704876"/>
    <w:rsid w:val="00704C93"/>
    <w:rsid w:val="00704CD1"/>
    <w:rsid w:val="0070521C"/>
    <w:rsid w:val="0070535E"/>
    <w:rsid w:val="00705405"/>
    <w:rsid w:val="00705832"/>
    <w:rsid w:val="00705F73"/>
    <w:rsid w:val="007060A8"/>
    <w:rsid w:val="00706B9B"/>
    <w:rsid w:val="00706CFA"/>
    <w:rsid w:val="007070C9"/>
    <w:rsid w:val="00707113"/>
    <w:rsid w:val="0070724A"/>
    <w:rsid w:val="00707390"/>
    <w:rsid w:val="00707995"/>
    <w:rsid w:val="00707DEA"/>
    <w:rsid w:val="007108D4"/>
    <w:rsid w:val="007109B9"/>
    <w:rsid w:val="0071128D"/>
    <w:rsid w:val="00711A5A"/>
    <w:rsid w:val="00711EAB"/>
    <w:rsid w:val="00711EBB"/>
    <w:rsid w:val="007123C8"/>
    <w:rsid w:val="00712556"/>
    <w:rsid w:val="00712817"/>
    <w:rsid w:val="00712B5A"/>
    <w:rsid w:val="00712D81"/>
    <w:rsid w:val="00712DD3"/>
    <w:rsid w:val="007132AA"/>
    <w:rsid w:val="007135FE"/>
    <w:rsid w:val="00713742"/>
    <w:rsid w:val="007145FD"/>
    <w:rsid w:val="007147BC"/>
    <w:rsid w:val="00714C33"/>
    <w:rsid w:val="00714F3F"/>
    <w:rsid w:val="00714FDE"/>
    <w:rsid w:val="0071504B"/>
    <w:rsid w:val="00715382"/>
    <w:rsid w:val="00715B72"/>
    <w:rsid w:val="00716BA0"/>
    <w:rsid w:val="00716CD6"/>
    <w:rsid w:val="00716CF7"/>
    <w:rsid w:val="00716DD2"/>
    <w:rsid w:val="00716F7B"/>
    <w:rsid w:val="00717615"/>
    <w:rsid w:val="00717B18"/>
    <w:rsid w:val="00717B9F"/>
    <w:rsid w:val="00717BA8"/>
    <w:rsid w:val="00720225"/>
    <w:rsid w:val="00720248"/>
    <w:rsid w:val="00720426"/>
    <w:rsid w:val="0072054C"/>
    <w:rsid w:val="007209C6"/>
    <w:rsid w:val="0072134A"/>
    <w:rsid w:val="007219DF"/>
    <w:rsid w:val="0072246C"/>
    <w:rsid w:val="0072264E"/>
    <w:rsid w:val="007227AE"/>
    <w:rsid w:val="007229CC"/>
    <w:rsid w:val="00722E5D"/>
    <w:rsid w:val="0072347B"/>
    <w:rsid w:val="00723536"/>
    <w:rsid w:val="0072376B"/>
    <w:rsid w:val="007239C2"/>
    <w:rsid w:val="00723BCE"/>
    <w:rsid w:val="00723C13"/>
    <w:rsid w:val="00724BEA"/>
    <w:rsid w:val="00724F64"/>
    <w:rsid w:val="00725081"/>
    <w:rsid w:val="0072517B"/>
    <w:rsid w:val="007256C0"/>
    <w:rsid w:val="00725C23"/>
    <w:rsid w:val="00725E07"/>
    <w:rsid w:val="00725EBB"/>
    <w:rsid w:val="0072651D"/>
    <w:rsid w:val="00726AB2"/>
    <w:rsid w:val="00726D8A"/>
    <w:rsid w:val="007273C3"/>
    <w:rsid w:val="007277AB"/>
    <w:rsid w:val="007278A8"/>
    <w:rsid w:val="00730458"/>
    <w:rsid w:val="00730547"/>
    <w:rsid w:val="0073064F"/>
    <w:rsid w:val="00730689"/>
    <w:rsid w:val="007308E1"/>
    <w:rsid w:val="007309F2"/>
    <w:rsid w:val="00730BD8"/>
    <w:rsid w:val="00731D32"/>
    <w:rsid w:val="00731D5A"/>
    <w:rsid w:val="00731F69"/>
    <w:rsid w:val="007324D7"/>
    <w:rsid w:val="0073264B"/>
    <w:rsid w:val="007334A2"/>
    <w:rsid w:val="007334BD"/>
    <w:rsid w:val="00733E50"/>
    <w:rsid w:val="0073409F"/>
    <w:rsid w:val="007343D6"/>
    <w:rsid w:val="007348F8"/>
    <w:rsid w:val="00734C8E"/>
    <w:rsid w:val="00734F4D"/>
    <w:rsid w:val="0073505B"/>
    <w:rsid w:val="007350C8"/>
    <w:rsid w:val="007354F7"/>
    <w:rsid w:val="0073567B"/>
    <w:rsid w:val="007358CF"/>
    <w:rsid w:val="00735D7C"/>
    <w:rsid w:val="007361AD"/>
    <w:rsid w:val="0073672F"/>
    <w:rsid w:val="0073693E"/>
    <w:rsid w:val="00736ADE"/>
    <w:rsid w:val="00736B7B"/>
    <w:rsid w:val="00737185"/>
    <w:rsid w:val="00737645"/>
    <w:rsid w:val="0073784F"/>
    <w:rsid w:val="0073791E"/>
    <w:rsid w:val="00737ACD"/>
    <w:rsid w:val="00737BEB"/>
    <w:rsid w:val="00737C3A"/>
    <w:rsid w:val="00737F30"/>
    <w:rsid w:val="00740034"/>
    <w:rsid w:val="0074047E"/>
    <w:rsid w:val="00740C58"/>
    <w:rsid w:val="00740D16"/>
    <w:rsid w:val="00740D70"/>
    <w:rsid w:val="00740F87"/>
    <w:rsid w:val="00741177"/>
    <w:rsid w:val="00741D18"/>
    <w:rsid w:val="00741F1E"/>
    <w:rsid w:val="00741FB7"/>
    <w:rsid w:val="007422D5"/>
    <w:rsid w:val="007427D3"/>
    <w:rsid w:val="007427E0"/>
    <w:rsid w:val="00742857"/>
    <w:rsid w:val="007429D2"/>
    <w:rsid w:val="00742D86"/>
    <w:rsid w:val="00742E06"/>
    <w:rsid w:val="00742EB2"/>
    <w:rsid w:val="00743029"/>
    <w:rsid w:val="0074363E"/>
    <w:rsid w:val="00743783"/>
    <w:rsid w:val="00743950"/>
    <w:rsid w:val="007439C0"/>
    <w:rsid w:val="00743EB9"/>
    <w:rsid w:val="00744059"/>
    <w:rsid w:val="0074432F"/>
    <w:rsid w:val="00744A54"/>
    <w:rsid w:val="00744CF3"/>
    <w:rsid w:val="0074557E"/>
    <w:rsid w:val="0074559C"/>
    <w:rsid w:val="00745695"/>
    <w:rsid w:val="00745B0E"/>
    <w:rsid w:val="00745BEA"/>
    <w:rsid w:val="007461A7"/>
    <w:rsid w:val="0074657E"/>
    <w:rsid w:val="00747110"/>
    <w:rsid w:val="0074721B"/>
    <w:rsid w:val="0074735A"/>
    <w:rsid w:val="00747440"/>
    <w:rsid w:val="007474BD"/>
    <w:rsid w:val="007475AA"/>
    <w:rsid w:val="007477D5"/>
    <w:rsid w:val="00747C81"/>
    <w:rsid w:val="0075028A"/>
    <w:rsid w:val="007502C8"/>
    <w:rsid w:val="00750743"/>
    <w:rsid w:val="00750936"/>
    <w:rsid w:val="00750943"/>
    <w:rsid w:val="00750ADA"/>
    <w:rsid w:val="00750E8F"/>
    <w:rsid w:val="007516C3"/>
    <w:rsid w:val="00751770"/>
    <w:rsid w:val="007519FC"/>
    <w:rsid w:val="00752651"/>
    <w:rsid w:val="007526C3"/>
    <w:rsid w:val="00752865"/>
    <w:rsid w:val="00752AE4"/>
    <w:rsid w:val="00752E49"/>
    <w:rsid w:val="00752FF9"/>
    <w:rsid w:val="0075384F"/>
    <w:rsid w:val="0075388F"/>
    <w:rsid w:val="00753BE7"/>
    <w:rsid w:val="00753BF8"/>
    <w:rsid w:val="00753C4C"/>
    <w:rsid w:val="00754060"/>
    <w:rsid w:val="007540F6"/>
    <w:rsid w:val="00754301"/>
    <w:rsid w:val="00754915"/>
    <w:rsid w:val="00754A7B"/>
    <w:rsid w:val="00754B65"/>
    <w:rsid w:val="007551B1"/>
    <w:rsid w:val="007553B0"/>
    <w:rsid w:val="007555E7"/>
    <w:rsid w:val="00755F37"/>
    <w:rsid w:val="00756371"/>
    <w:rsid w:val="00756502"/>
    <w:rsid w:val="00756673"/>
    <w:rsid w:val="00756DB9"/>
    <w:rsid w:val="00756E74"/>
    <w:rsid w:val="007574EB"/>
    <w:rsid w:val="00757C12"/>
    <w:rsid w:val="00757C3C"/>
    <w:rsid w:val="00757DAF"/>
    <w:rsid w:val="00757E54"/>
    <w:rsid w:val="007602EE"/>
    <w:rsid w:val="007602F1"/>
    <w:rsid w:val="007605BA"/>
    <w:rsid w:val="007614AE"/>
    <w:rsid w:val="0076161C"/>
    <w:rsid w:val="00761A20"/>
    <w:rsid w:val="00761AD9"/>
    <w:rsid w:val="00761C99"/>
    <w:rsid w:val="00762108"/>
    <w:rsid w:val="0076218A"/>
    <w:rsid w:val="00762C4B"/>
    <w:rsid w:val="00762EC5"/>
    <w:rsid w:val="00762FDC"/>
    <w:rsid w:val="00763033"/>
    <w:rsid w:val="0076323B"/>
    <w:rsid w:val="0076341C"/>
    <w:rsid w:val="007635FA"/>
    <w:rsid w:val="00763623"/>
    <w:rsid w:val="00763A64"/>
    <w:rsid w:val="00763C2E"/>
    <w:rsid w:val="0076415C"/>
    <w:rsid w:val="00764263"/>
    <w:rsid w:val="0076481C"/>
    <w:rsid w:val="0076495A"/>
    <w:rsid w:val="00764AC6"/>
    <w:rsid w:val="00765069"/>
    <w:rsid w:val="00765144"/>
    <w:rsid w:val="007652E6"/>
    <w:rsid w:val="00765357"/>
    <w:rsid w:val="007655F2"/>
    <w:rsid w:val="00765664"/>
    <w:rsid w:val="00765844"/>
    <w:rsid w:val="00765A26"/>
    <w:rsid w:val="00765B54"/>
    <w:rsid w:val="00765B61"/>
    <w:rsid w:val="00765C56"/>
    <w:rsid w:val="007662CC"/>
    <w:rsid w:val="0076632A"/>
    <w:rsid w:val="0076660F"/>
    <w:rsid w:val="00766676"/>
    <w:rsid w:val="00766BFF"/>
    <w:rsid w:val="00766DB8"/>
    <w:rsid w:val="0076711A"/>
    <w:rsid w:val="0076785F"/>
    <w:rsid w:val="00767B3A"/>
    <w:rsid w:val="00767C95"/>
    <w:rsid w:val="007701CE"/>
    <w:rsid w:val="00770277"/>
    <w:rsid w:val="00770B1B"/>
    <w:rsid w:val="00770BE4"/>
    <w:rsid w:val="00770C3D"/>
    <w:rsid w:val="00770EDF"/>
    <w:rsid w:val="00771069"/>
    <w:rsid w:val="00771261"/>
    <w:rsid w:val="0077165F"/>
    <w:rsid w:val="00771670"/>
    <w:rsid w:val="007718B7"/>
    <w:rsid w:val="0077193F"/>
    <w:rsid w:val="00771B3E"/>
    <w:rsid w:val="00771BAF"/>
    <w:rsid w:val="00771D02"/>
    <w:rsid w:val="00771F68"/>
    <w:rsid w:val="00772033"/>
    <w:rsid w:val="007720DD"/>
    <w:rsid w:val="0077231B"/>
    <w:rsid w:val="007723BA"/>
    <w:rsid w:val="0077244A"/>
    <w:rsid w:val="0077316D"/>
    <w:rsid w:val="00773A34"/>
    <w:rsid w:val="0077467C"/>
    <w:rsid w:val="00774BFE"/>
    <w:rsid w:val="007751D8"/>
    <w:rsid w:val="007756DB"/>
    <w:rsid w:val="00775D64"/>
    <w:rsid w:val="00775FAD"/>
    <w:rsid w:val="007761D2"/>
    <w:rsid w:val="00776331"/>
    <w:rsid w:val="00776432"/>
    <w:rsid w:val="00776453"/>
    <w:rsid w:val="00776496"/>
    <w:rsid w:val="0077681D"/>
    <w:rsid w:val="00776A59"/>
    <w:rsid w:val="00776B11"/>
    <w:rsid w:val="00776CB5"/>
    <w:rsid w:val="00776FFA"/>
    <w:rsid w:val="00777442"/>
    <w:rsid w:val="007776BE"/>
    <w:rsid w:val="00777A1F"/>
    <w:rsid w:val="00777C88"/>
    <w:rsid w:val="00780260"/>
    <w:rsid w:val="007803EF"/>
    <w:rsid w:val="0078158B"/>
    <w:rsid w:val="00781EA0"/>
    <w:rsid w:val="00782001"/>
    <w:rsid w:val="00782805"/>
    <w:rsid w:val="007828B1"/>
    <w:rsid w:val="00782919"/>
    <w:rsid w:val="00782C12"/>
    <w:rsid w:val="00782E12"/>
    <w:rsid w:val="007830A1"/>
    <w:rsid w:val="007834F1"/>
    <w:rsid w:val="007836CE"/>
    <w:rsid w:val="00783930"/>
    <w:rsid w:val="007839AB"/>
    <w:rsid w:val="00783B29"/>
    <w:rsid w:val="00784F78"/>
    <w:rsid w:val="0078508B"/>
    <w:rsid w:val="007854F3"/>
    <w:rsid w:val="00785648"/>
    <w:rsid w:val="00785E00"/>
    <w:rsid w:val="00785F48"/>
    <w:rsid w:val="0078601E"/>
    <w:rsid w:val="00786040"/>
    <w:rsid w:val="007871BB"/>
    <w:rsid w:val="007872D5"/>
    <w:rsid w:val="007878B4"/>
    <w:rsid w:val="00790280"/>
    <w:rsid w:val="007902C2"/>
    <w:rsid w:val="007903EA"/>
    <w:rsid w:val="00790CD0"/>
    <w:rsid w:val="00790DB4"/>
    <w:rsid w:val="0079121C"/>
    <w:rsid w:val="00791284"/>
    <w:rsid w:val="007913B2"/>
    <w:rsid w:val="0079151F"/>
    <w:rsid w:val="00791884"/>
    <w:rsid w:val="007918F4"/>
    <w:rsid w:val="00791955"/>
    <w:rsid w:val="00791D46"/>
    <w:rsid w:val="00791E40"/>
    <w:rsid w:val="00791F3B"/>
    <w:rsid w:val="00792486"/>
    <w:rsid w:val="007927B1"/>
    <w:rsid w:val="00792853"/>
    <w:rsid w:val="0079285A"/>
    <w:rsid w:val="007929EA"/>
    <w:rsid w:val="00792A8A"/>
    <w:rsid w:val="00792AA9"/>
    <w:rsid w:val="00792CF9"/>
    <w:rsid w:val="00792EA7"/>
    <w:rsid w:val="0079313C"/>
    <w:rsid w:val="007933AF"/>
    <w:rsid w:val="007933B7"/>
    <w:rsid w:val="0079358B"/>
    <w:rsid w:val="007935F2"/>
    <w:rsid w:val="007936C8"/>
    <w:rsid w:val="0079408C"/>
    <w:rsid w:val="0079435F"/>
    <w:rsid w:val="0079440F"/>
    <w:rsid w:val="00794F3C"/>
    <w:rsid w:val="0079585F"/>
    <w:rsid w:val="0079589D"/>
    <w:rsid w:val="007958A8"/>
    <w:rsid w:val="0079600A"/>
    <w:rsid w:val="0079644A"/>
    <w:rsid w:val="00796499"/>
    <w:rsid w:val="00796B40"/>
    <w:rsid w:val="00796B67"/>
    <w:rsid w:val="007972C2"/>
    <w:rsid w:val="007975E4"/>
    <w:rsid w:val="0079774C"/>
    <w:rsid w:val="0079785E"/>
    <w:rsid w:val="00797D0D"/>
    <w:rsid w:val="00797D9F"/>
    <w:rsid w:val="007A0367"/>
    <w:rsid w:val="007A0540"/>
    <w:rsid w:val="007A08CC"/>
    <w:rsid w:val="007A0A74"/>
    <w:rsid w:val="007A104F"/>
    <w:rsid w:val="007A1221"/>
    <w:rsid w:val="007A1452"/>
    <w:rsid w:val="007A1652"/>
    <w:rsid w:val="007A1E62"/>
    <w:rsid w:val="007A2090"/>
    <w:rsid w:val="007A2411"/>
    <w:rsid w:val="007A26F2"/>
    <w:rsid w:val="007A2941"/>
    <w:rsid w:val="007A2B66"/>
    <w:rsid w:val="007A2C92"/>
    <w:rsid w:val="007A2CC8"/>
    <w:rsid w:val="007A3724"/>
    <w:rsid w:val="007A3972"/>
    <w:rsid w:val="007A3993"/>
    <w:rsid w:val="007A3C8B"/>
    <w:rsid w:val="007A3D4D"/>
    <w:rsid w:val="007A44F4"/>
    <w:rsid w:val="007A5751"/>
    <w:rsid w:val="007A6587"/>
    <w:rsid w:val="007A674E"/>
    <w:rsid w:val="007A69D3"/>
    <w:rsid w:val="007A6A96"/>
    <w:rsid w:val="007A6E7D"/>
    <w:rsid w:val="007A6F2C"/>
    <w:rsid w:val="007A702A"/>
    <w:rsid w:val="007A70FA"/>
    <w:rsid w:val="007A73D0"/>
    <w:rsid w:val="007A768C"/>
    <w:rsid w:val="007A7A28"/>
    <w:rsid w:val="007A7DC7"/>
    <w:rsid w:val="007B00D1"/>
    <w:rsid w:val="007B019C"/>
    <w:rsid w:val="007B02E5"/>
    <w:rsid w:val="007B0358"/>
    <w:rsid w:val="007B03D9"/>
    <w:rsid w:val="007B0B86"/>
    <w:rsid w:val="007B0C97"/>
    <w:rsid w:val="007B0EA3"/>
    <w:rsid w:val="007B15B0"/>
    <w:rsid w:val="007B1891"/>
    <w:rsid w:val="007B1A6C"/>
    <w:rsid w:val="007B20B3"/>
    <w:rsid w:val="007B2364"/>
    <w:rsid w:val="007B25DC"/>
    <w:rsid w:val="007B273C"/>
    <w:rsid w:val="007B2A81"/>
    <w:rsid w:val="007B304E"/>
    <w:rsid w:val="007B3159"/>
    <w:rsid w:val="007B3241"/>
    <w:rsid w:val="007B32CB"/>
    <w:rsid w:val="007B34A5"/>
    <w:rsid w:val="007B34F6"/>
    <w:rsid w:val="007B35DD"/>
    <w:rsid w:val="007B37B9"/>
    <w:rsid w:val="007B3B17"/>
    <w:rsid w:val="007B3F77"/>
    <w:rsid w:val="007B3FA4"/>
    <w:rsid w:val="007B3FD8"/>
    <w:rsid w:val="007B43E9"/>
    <w:rsid w:val="007B4BF0"/>
    <w:rsid w:val="007B4C93"/>
    <w:rsid w:val="007B4EC7"/>
    <w:rsid w:val="007B535E"/>
    <w:rsid w:val="007B5998"/>
    <w:rsid w:val="007B5B64"/>
    <w:rsid w:val="007B610B"/>
    <w:rsid w:val="007B64B9"/>
    <w:rsid w:val="007B64FB"/>
    <w:rsid w:val="007B650E"/>
    <w:rsid w:val="007B659E"/>
    <w:rsid w:val="007B6FA3"/>
    <w:rsid w:val="007B71EF"/>
    <w:rsid w:val="007B7258"/>
    <w:rsid w:val="007B7781"/>
    <w:rsid w:val="007B7920"/>
    <w:rsid w:val="007B7AE7"/>
    <w:rsid w:val="007B7DD9"/>
    <w:rsid w:val="007C0109"/>
    <w:rsid w:val="007C020C"/>
    <w:rsid w:val="007C0276"/>
    <w:rsid w:val="007C0592"/>
    <w:rsid w:val="007C05B3"/>
    <w:rsid w:val="007C071B"/>
    <w:rsid w:val="007C073B"/>
    <w:rsid w:val="007C088C"/>
    <w:rsid w:val="007C0905"/>
    <w:rsid w:val="007C0A73"/>
    <w:rsid w:val="007C103F"/>
    <w:rsid w:val="007C106B"/>
    <w:rsid w:val="007C12A4"/>
    <w:rsid w:val="007C184F"/>
    <w:rsid w:val="007C1D14"/>
    <w:rsid w:val="007C1F96"/>
    <w:rsid w:val="007C258D"/>
    <w:rsid w:val="007C26E7"/>
    <w:rsid w:val="007C27A7"/>
    <w:rsid w:val="007C2A63"/>
    <w:rsid w:val="007C2B46"/>
    <w:rsid w:val="007C2B84"/>
    <w:rsid w:val="007C2BBD"/>
    <w:rsid w:val="007C2D6A"/>
    <w:rsid w:val="007C2E15"/>
    <w:rsid w:val="007C3307"/>
    <w:rsid w:val="007C3E9D"/>
    <w:rsid w:val="007C44C3"/>
    <w:rsid w:val="007C4529"/>
    <w:rsid w:val="007C4583"/>
    <w:rsid w:val="007C4647"/>
    <w:rsid w:val="007C4B63"/>
    <w:rsid w:val="007C4E44"/>
    <w:rsid w:val="007C4E72"/>
    <w:rsid w:val="007C56BE"/>
    <w:rsid w:val="007C5F4D"/>
    <w:rsid w:val="007C65F5"/>
    <w:rsid w:val="007C6C98"/>
    <w:rsid w:val="007C6CB1"/>
    <w:rsid w:val="007C6CD9"/>
    <w:rsid w:val="007C6EDD"/>
    <w:rsid w:val="007C70C7"/>
    <w:rsid w:val="007C7493"/>
    <w:rsid w:val="007C7504"/>
    <w:rsid w:val="007C7548"/>
    <w:rsid w:val="007C79AD"/>
    <w:rsid w:val="007C79FD"/>
    <w:rsid w:val="007C7B65"/>
    <w:rsid w:val="007C7BCE"/>
    <w:rsid w:val="007C7F21"/>
    <w:rsid w:val="007D02D3"/>
    <w:rsid w:val="007D04FC"/>
    <w:rsid w:val="007D078E"/>
    <w:rsid w:val="007D0A20"/>
    <w:rsid w:val="007D13ED"/>
    <w:rsid w:val="007D15D0"/>
    <w:rsid w:val="007D1838"/>
    <w:rsid w:val="007D1A5B"/>
    <w:rsid w:val="007D1BCA"/>
    <w:rsid w:val="007D1C74"/>
    <w:rsid w:val="007D1C8F"/>
    <w:rsid w:val="007D1F63"/>
    <w:rsid w:val="007D2366"/>
    <w:rsid w:val="007D3754"/>
    <w:rsid w:val="007D3785"/>
    <w:rsid w:val="007D38C5"/>
    <w:rsid w:val="007D3DA2"/>
    <w:rsid w:val="007D3F19"/>
    <w:rsid w:val="007D4329"/>
    <w:rsid w:val="007D44A2"/>
    <w:rsid w:val="007D44C6"/>
    <w:rsid w:val="007D4A8B"/>
    <w:rsid w:val="007D4AD8"/>
    <w:rsid w:val="007D4BCF"/>
    <w:rsid w:val="007D4FD4"/>
    <w:rsid w:val="007D50E7"/>
    <w:rsid w:val="007D5738"/>
    <w:rsid w:val="007D5AC6"/>
    <w:rsid w:val="007D5DE7"/>
    <w:rsid w:val="007D6CBD"/>
    <w:rsid w:val="007D6D8D"/>
    <w:rsid w:val="007D7337"/>
    <w:rsid w:val="007D758C"/>
    <w:rsid w:val="007D7711"/>
    <w:rsid w:val="007D7756"/>
    <w:rsid w:val="007D7E2D"/>
    <w:rsid w:val="007E0127"/>
    <w:rsid w:val="007E025E"/>
    <w:rsid w:val="007E02B5"/>
    <w:rsid w:val="007E02B7"/>
    <w:rsid w:val="007E1359"/>
    <w:rsid w:val="007E1467"/>
    <w:rsid w:val="007E185A"/>
    <w:rsid w:val="007E19EC"/>
    <w:rsid w:val="007E1A01"/>
    <w:rsid w:val="007E1AF4"/>
    <w:rsid w:val="007E2EA6"/>
    <w:rsid w:val="007E31B0"/>
    <w:rsid w:val="007E332C"/>
    <w:rsid w:val="007E340D"/>
    <w:rsid w:val="007E35F1"/>
    <w:rsid w:val="007E3A15"/>
    <w:rsid w:val="007E4094"/>
    <w:rsid w:val="007E41C5"/>
    <w:rsid w:val="007E4271"/>
    <w:rsid w:val="007E447C"/>
    <w:rsid w:val="007E4585"/>
    <w:rsid w:val="007E49BE"/>
    <w:rsid w:val="007E5255"/>
    <w:rsid w:val="007E5BF6"/>
    <w:rsid w:val="007E5F91"/>
    <w:rsid w:val="007E62DD"/>
    <w:rsid w:val="007E653C"/>
    <w:rsid w:val="007E6AFE"/>
    <w:rsid w:val="007E6C8E"/>
    <w:rsid w:val="007E7028"/>
    <w:rsid w:val="007E72F7"/>
    <w:rsid w:val="007E755F"/>
    <w:rsid w:val="007E7D2F"/>
    <w:rsid w:val="007E7EAF"/>
    <w:rsid w:val="007E7F0D"/>
    <w:rsid w:val="007F0114"/>
    <w:rsid w:val="007F0262"/>
    <w:rsid w:val="007F0395"/>
    <w:rsid w:val="007F0A86"/>
    <w:rsid w:val="007F0AD5"/>
    <w:rsid w:val="007F0B13"/>
    <w:rsid w:val="007F0C71"/>
    <w:rsid w:val="007F0EC7"/>
    <w:rsid w:val="007F0F3E"/>
    <w:rsid w:val="007F1363"/>
    <w:rsid w:val="007F13D3"/>
    <w:rsid w:val="007F1578"/>
    <w:rsid w:val="007F18EF"/>
    <w:rsid w:val="007F1C1A"/>
    <w:rsid w:val="007F1E05"/>
    <w:rsid w:val="007F1E99"/>
    <w:rsid w:val="007F2BE6"/>
    <w:rsid w:val="007F2E1D"/>
    <w:rsid w:val="007F2E9C"/>
    <w:rsid w:val="007F35BF"/>
    <w:rsid w:val="007F380E"/>
    <w:rsid w:val="007F39EF"/>
    <w:rsid w:val="007F3A2A"/>
    <w:rsid w:val="007F3AA3"/>
    <w:rsid w:val="007F3CDE"/>
    <w:rsid w:val="007F3CF8"/>
    <w:rsid w:val="007F3D6A"/>
    <w:rsid w:val="007F3D8D"/>
    <w:rsid w:val="007F4066"/>
    <w:rsid w:val="007F439A"/>
    <w:rsid w:val="007F443E"/>
    <w:rsid w:val="007F4475"/>
    <w:rsid w:val="007F489D"/>
    <w:rsid w:val="007F4A25"/>
    <w:rsid w:val="007F5290"/>
    <w:rsid w:val="007F5C76"/>
    <w:rsid w:val="007F6247"/>
    <w:rsid w:val="007F628B"/>
    <w:rsid w:val="007F62EC"/>
    <w:rsid w:val="007F6471"/>
    <w:rsid w:val="007F6CAC"/>
    <w:rsid w:val="007F7133"/>
    <w:rsid w:val="007F7325"/>
    <w:rsid w:val="007F73F5"/>
    <w:rsid w:val="007F76F5"/>
    <w:rsid w:val="007F77CB"/>
    <w:rsid w:val="007F7973"/>
    <w:rsid w:val="007F79D9"/>
    <w:rsid w:val="007F7CC9"/>
    <w:rsid w:val="0080002D"/>
    <w:rsid w:val="008003A5"/>
    <w:rsid w:val="00800470"/>
    <w:rsid w:val="008005A3"/>
    <w:rsid w:val="008006F4"/>
    <w:rsid w:val="00800B32"/>
    <w:rsid w:val="00800B5A"/>
    <w:rsid w:val="008011B4"/>
    <w:rsid w:val="00801307"/>
    <w:rsid w:val="008019F6"/>
    <w:rsid w:val="00801D71"/>
    <w:rsid w:val="00801D85"/>
    <w:rsid w:val="00802524"/>
    <w:rsid w:val="00802ADE"/>
    <w:rsid w:val="00802BA6"/>
    <w:rsid w:val="00802C32"/>
    <w:rsid w:val="00802D49"/>
    <w:rsid w:val="00802F66"/>
    <w:rsid w:val="008031DD"/>
    <w:rsid w:val="008033A2"/>
    <w:rsid w:val="00803D01"/>
    <w:rsid w:val="00803D1B"/>
    <w:rsid w:val="00803E97"/>
    <w:rsid w:val="00803EF7"/>
    <w:rsid w:val="008046B0"/>
    <w:rsid w:val="00804716"/>
    <w:rsid w:val="00804CB1"/>
    <w:rsid w:val="008053A6"/>
    <w:rsid w:val="00805656"/>
    <w:rsid w:val="00805A32"/>
    <w:rsid w:val="00805C2D"/>
    <w:rsid w:val="00805F5A"/>
    <w:rsid w:val="00806440"/>
    <w:rsid w:val="00806698"/>
    <w:rsid w:val="00806856"/>
    <w:rsid w:val="00806AB6"/>
    <w:rsid w:val="00806E4F"/>
    <w:rsid w:val="00806F0A"/>
    <w:rsid w:val="008072C7"/>
    <w:rsid w:val="008075CF"/>
    <w:rsid w:val="00807B6F"/>
    <w:rsid w:val="00807B97"/>
    <w:rsid w:val="008101E4"/>
    <w:rsid w:val="00810266"/>
    <w:rsid w:val="00810428"/>
    <w:rsid w:val="00810691"/>
    <w:rsid w:val="0081077B"/>
    <w:rsid w:val="008109B4"/>
    <w:rsid w:val="00810C17"/>
    <w:rsid w:val="00810EA3"/>
    <w:rsid w:val="008114AC"/>
    <w:rsid w:val="0081248C"/>
    <w:rsid w:val="00812885"/>
    <w:rsid w:val="00812A6A"/>
    <w:rsid w:val="00812F9B"/>
    <w:rsid w:val="00813152"/>
    <w:rsid w:val="008131D0"/>
    <w:rsid w:val="00813248"/>
    <w:rsid w:val="0081351A"/>
    <w:rsid w:val="0081384E"/>
    <w:rsid w:val="008141A5"/>
    <w:rsid w:val="00814531"/>
    <w:rsid w:val="00814966"/>
    <w:rsid w:val="00814AE6"/>
    <w:rsid w:val="00814C0A"/>
    <w:rsid w:val="00815026"/>
    <w:rsid w:val="00815348"/>
    <w:rsid w:val="008155BD"/>
    <w:rsid w:val="00815760"/>
    <w:rsid w:val="0081578D"/>
    <w:rsid w:val="00815B1B"/>
    <w:rsid w:val="00815B31"/>
    <w:rsid w:val="008162BD"/>
    <w:rsid w:val="008167A1"/>
    <w:rsid w:val="008167D9"/>
    <w:rsid w:val="00816A7B"/>
    <w:rsid w:val="00816ACD"/>
    <w:rsid w:val="00816E1A"/>
    <w:rsid w:val="008173DA"/>
    <w:rsid w:val="0081785D"/>
    <w:rsid w:val="00817D31"/>
    <w:rsid w:val="0082038B"/>
    <w:rsid w:val="0082104A"/>
    <w:rsid w:val="008211B9"/>
    <w:rsid w:val="00821747"/>
    <w:rsid w:val="008218D6"/>
    <w:rsid w:val="00821D11"/>
    <w:rsid w:val="00821F71"/>
    <w:rsid w:val="00822065"/>
    <w:rsid w:val="008223A6"/>
    <w:rsid w:val="00822BFA"/>
    <w:rsid w:val="00822C08"/>
    <w:rsid w:val="008231BD"/>
    <w:rsid w:val="00823230"/>
    <w:rsid w:val="008232AD"/>
    <w:rsid w:val="00823627"/>
    <w:rsid w:val="00823792"/>
    <w:rsid w:val="00823A47"/>
    <w:rsid w:val="00823CA6"/>
    <w:rsid w:val="00823F4D"/>
    <w:rsid w:val="008241B3"/>
    <w:rsid w:val="0082450D"/>
    <w:rsid w:val="00824646"/>
    <w:rsid w:val="00824C89"/>
    <w:rsid w:val="00824DC1"/>
    <w:rsid w:val="00825082"/>
    <w:rsid w:val="008250F6"/>
    <w:rsid w:val="00825557"/>
    <w:rsid w:val="00825BAD"/>
    <w:rsid w:val="00825ECE"/>
    <w:rsid w:val="00826263"/>
    <w:rsid w:val="008264F7"/>
    <w:rsid w:val="0082666E"/>
    <w:rsid w:val="00826F4A"/>
    <w:rsid w:val="00827371"/>
    <w:rsid w:val="00827733"/>
    <w:rsid w:val="00827971"/>
    <w:rsid w:val="00827E8B"/>
    <w:rsid w:val="00827F13"/>
    <w:rsid w:val="00830270"/>
    <w:rsid w:val="0083028B"/>
    <w:rsid w:val="00830424"/>
    <w:rsid w:val="00830BFE"/>
    <w:rsid w:val="0083128D"/>
    <w:rsid w:val="00831B6E"/>
    <w:rsid w:val="00831F49"/>
    <w:rsid w:val="0083212B"/>
    <w:rsid w:val="00832285"/>
    <w:rsid w:val="008327FC"/>
    <w:rsid w:val="008335AC"/>
    <w:rsid w:val="008336BA"/>
    <w:rsid w:val="008339AC"/>
    <w:rsid w:val="0083401E"/>
    <w:rsid w:val="00834234"/>
    <w:rsid w:val="0083469D"/>
    <w:rsid w:val="008348C2"/>
    <w:rsid w:val="00834BC1"/>
    <w:rsid w:val="00834C69"/>
    <w:rsid w:val="00834CBB"/>
    <w:rsid w:val="00834D15"/>
    <w:rsid w:val="008350BE"/>
    <w:rsid w:val="00835387"/>
    <w:rsid w:val="00835402"/>
    <w:rsid w:val="00835EFF"/>
    <w:rsid w:val="0083618E"/>
    <w:rsid w:val="008361CA"/>
    <w:rsid w:val="00836420"/>
    <w:rsid w:val="0083695E"/>
    <w:rsid w:val="00836AF4"/>
    <w:rsid w:val="00836DC0"/>
    <w:rsid w:val="00836FB8"/>
    <w:rsid w:val="00837563"/>
    <w:rsid w:val="008375BF"/>
    <w:rsid w:val="0083773A"/>
    <w:rsid w:val="00837E4F"/>
    <w:rsid w:val="008407CE"/>
    <w:rsid w:val="00840851"/>
    <w:rsid w:val="00840D4A"/>
    <w:rsid w:val="0084120E"/>
    <w:rsid w:val="0084138B"/>
    <w:rsid w:val="00841A79"/>
    <w:rsid w:val="00841DEF"/>
    <w:rsid w:val="00841DF7"/>
    <w:rsid w:val="008422AE"/>
    <w:rsid w:val="00842303"/>
    <w:rsid w:val="00842358"/>
    <w:rsid w:val="008423FF"/>
    <w:rsid w:val="00842493"/>
    <w:rsid w:val="0084325A"/>
    <w:rsid w:val="0084364A"/>
    <w:rsid w:val="00843865"/>
    <w:rsid w:val="0084447D"/>
    <w:rsid w:val="008448D7"/>
    <w:rsid w:val="00844942"/>
    <w:rsid w:val="008449BB"/>
    <w:rsid w:val="00844E11"/>
    <w:rsid w:val="008451D9"/>
    <w:rsid w:val="0084544F"/>
    <w:rsid w:val="00845976"/>
    <w:rsid w:val="00845AE7"/>
    <w:rsid w:val="00845D44"/>
    <w:rsid w:val="008466E6"/>
    <w:rsid w:val="00846A0A"/>
    <w:rsid w:val="00846DE2"/>
    <w:rsid w:val="00846FD0"/>
    <w:rsid w:val="00847496"/>
    <w:rsid w:val="00847630"/>
    <w:rsid w:val="00847770"/>
    <w:rsid w:val="00847C2C"/>
    <w:rsid w:val="00847C32"/>
    <w:rsid w:val="00847D72"/>
    <w:rsid w:val="0085042B"/>
    <w:rsid w:val="00850771"/>
    <w:rsid w:val="008509AC"/>
    <w:rsid w:val="008509F8"/>
    <w:rsid w:val="00850C2D"/>
    <w:rsid w:val="0085248F"/>
    <w:rsid w:val="0085264D"/>
    <w:rsid w:val="00852713"/>
    <w:rsid w:val="008527AF"/>
    <w:rsid w:val="00852C0A"/>
    <w:rsid w:val="00852F27"/>
    <w:rsid w:val="0085341E"/>
    <w:rsid w:val="008538F4"/>
    <w:rsid w:val="00853AB7"/>
    <w:rsid w:val="00853EC1"/>
    <w:rsid w:val="00854179"/>
    <w:rsid w:val="008541FB"/>
    <w:rsid w:val="0085438B"/>
    <w:rsid w:val="00854B2B"/>
    <w:rsid w:val="00854DD3"/>
    <w:rsid w:val="00854F7B"/>
    <w:rsid w:val="008556C0"/>
    <w:rsid w:val="00855B4E"/>
    <w:rsid w:val="00856048"/>
    <w:rsid w:val="008560F9"/>
    <w:rsid w:val="008567D3"/>
    <w:rsid w:val="00856904"/>
    <w:rsid w:val="00856944"/>
    <w:rsid w:val="008569F1"/>
    <w:rsid w:val="00856A8A"/>
    <w:rsid w:val="00856AEB"/>
    <w:rsid w:val="00857049"/>
    <w:rsid w:val="008570C8"/>
    <w:rsid w:val="0085778A"/>
    <w:rsid w:val="008578C9"/>
    <w:rsid w:val="00860132"/>
    <w:rsid w:val="008606ED"/>
    <w:rsid w:val="008607D6"/>
    <w:rsid w:val="00860B49"/>
    <w:rsid w:val="008610BE"/>
    <w:rsid w:val="0086114E"/>
    <w:rsid w:val="0086151A"/>
    <w:rsid w:val="00862158"/>
    <w:rsid w:val="00862957"/>
    <w:rsid w:val="00862C3B"/>
    <w:rsid w:val="00862E86"/>
    <w:rsid w:val="00862EAE"/>
    <w:rsid w:val="00862ED8"/>
    <w:rsid w:val="00862EE2"/>
    <w:rsid w:val="00863550"/>
    <w:rsid w:val="0086359E"/>
    <w:rsid w:val="008637B0"/>
    <w:rsid w:val="00863C66"/>
    <w:rsid w:val="0086431B"/>
    <w:rsid w:val="00864EEA"/>
    <w:rsid w:val="0086529D"/>
    <w:rsid w:val="00865936"/>
    <w:rsid w:val="008659FE"/>
    <w:rsid w:val="0086602A"/>
    <w:rsid w:val="00866137"/>
    <w:rsid w:val="008668E4"/>
    <w:rsid w:val="00866C4A"/>
    <w:rsid w:val="00866C89"/>
    <w:rsid w:val="00867072"/>
    <w:rsid w:val="0086760A"/>
    <w:rsid w:val="00867CD3"/>
    <w:rsid w:val="00867F2F"/>
    <w:rsid w:val="008700F0"/>
    <w:rsid w:val="008700FF"/>
    <w:rsid w:val="0087047F"/>
    <w:rsid w:val="0087066B"/>
    <w:rsid w:val="00870CD4"/>
    <w:rsid w:val="00870D3D"/>
    <w:rsid w:val="00871143"/>
    <w:rsid w:val="00871153"/>
    <w:rsid w:val="00871263"/>
    <w:rsid w:val="00871460"/>
    <w:rsid w:val="008718F0"/>
    <w:rsid w:val="008719D7"/>
    <w:rsid w:val="00871A90"/>
    <w:rsid w:val="00871E19"/>
    <w:rsid w:val="008729B6"/>
    <w:rsid w:val="00872ABE"/>
    <w:rsid w:val="00872D9E"/>
    <w:rsid w:val="008734B1"/>
    <w:rsid w:val="008737D9"/>
    <w:rsid w:val="00873818"/>
    <w:rsid w:val="008740C8"/>
    <w:rsid w:val="008740E7"/>
    <w:rsid w:val="00874369"/>
    <w:rsid w:val="00874E6F"/>
    <w:rsid w:val="00874F04"/>
    <w:rsid w:val="0087527B"/>
    <w:rsid w:val="008754AC"/>
    <w:rsid w:val="00875AAE"/>
    <w:rsid w:val="00875AC3"/>
    <w:rsid w:val="00875DFF"/>
    <w:rsid w:val="00876128"/>
    <w:rsid w:val="008761C8"/>
    <w:rsid w:val="0087623F"/>
    <w:rsid w:val="00876507"/>
    <w:rsid w:val="0087651A"/>
    <w:rsid w:val="00876634"/>
    <w:rsid w:val="00876CCC"/>
    <w:rsid w:val="00877542"/>
    <w:rsid w:val="008776AA"/>
    <w:rsid w:val="008776E3"/>
    <w:rsid w:val="00877723"/>
    <w:rsid w:val="00877A08"/>
    <w:rsid w:val="00877E78"/>
    <w:rsid w:val="00880010"/>
    <w:rsid w:val="00880100"/>
    <w:rsid w:val="0088049F"/>
    <w:rsid w:val="00880598"/>
    <w:rsid w:val="008807A6"/>
    <w:rsid w:val="00880953"/>
    <w:rsid w:val="00880DC5"/>
    <w:rsid w:val="0088121F"/>
    <w:rsid w:val="008817E6"/>
    <w:rsid w:val="008818BF"/>
    <w:rsid w:val="008818EB"/>
    <w:rsid w:val="00881EF3"/>
    <w:rsid w:val="00881F32"/>
    <w:rsid w:val="008820BA"/>
    <w:rsid w:val="00882811"/>
    <w:rsid w:val="0088289B"/>
    <w:rsid w:val="0088317E"/>
    <w:rsid w:val="00883613"/>
    <w:rsid w:val="00883839"/>
    <w:rsid w:val="00883A4D"/>
    <w:rsid w:val="008845F5"/>
    <w:rsid w:val="00884645"/>
    <w:rsid w:val="00884915"/>
    <w:rsid w:val="00884DDA"/>
    <w:rsid w:val="00884FC6"/>
    <w:rsid w:val="008855AE"/>
    <w:rsid w:val="008857BF"/>
    <w:rsid w:val="008864CF"/>
    <w:rsid w:val="0088670C"/>
    <w:rsid w:val="00886AD7"/>
    <w:rsid w:val="008871E9"/>
    <w:rsid w:val="00887241"/>
    <w:rsid w:val="00887719"/>
    <w:rsid w:val="00887840"/>
    <w:rsid w:val="00887A9D"/>
    <w:rsid w:val="00887BD0"/>
    <w:rsid w:val="0089021B"/>
    <w:rsid w:val="0089022C"/>
    <w:rsid w:val="00890D1A"/>
    <w:rsid w:val="008912C6"/>
    <w:rsid w:val="00891316"/>
    <w:rsid w:val="0089186D"/>
    <w:rsid w:val="008918F0"/>
    <w:rsid w:val="00891B90"/>
    <w:rsid w:val="00891E9D"/>
    <w:rsid w:val="008924BA"/>
    <w:rsid w:val="008926EC"/>
    <w:rsid w:val="00892BE8"/>
    <w:rsid w:val="00892C3B"/>
    <w:rsid w:val="00892CC4"/>
    <w:rsid w:val="00893005"/>
    <w:rsid w:val="00893018"/>
    <w:rsid w:val="00893086"/>
    <w:rsid w:val="008934C2"/>
    <w:rsid w:val="0089377A"/>
    <w:rsid w:val="0089396A"/>
    <w:rsid w:val="008939B7"/>
    <w:rsid w:val="00893F21"/>
    <w:rsid w:val="0089467A"/>
    <w:rsid w:val="008949A9"/>
    <w:rsid w:val="00894A01"/>
    <w:rsid w:val="00894E63"/>
    <w:rsid w:val="008951D3"/>
    <w:rsid w:val="00895AEB"/>
    <w:rsid w:val="00895D61"/>
    <w:rsid w:val="00895F10"/>
    <w:rsid w:val="00895F59"/>
    <w:rsid w:val="00895F85"/>
    <w:rsid w:val="00896168"/>
    <w:rsid w:val="008962C5"/>
    <w:rsid w:val="0089693A"/>
    <w:rsid w:val="00896CFA"/>
    <w:rsid w:val="008972FD"/>
    <w:rsid w:val="00897639"/>
    <w:rsid w:val="008978DF"/>
    <w:rsid w:val="00897B98"/>
    <w:rsid w:val="00897F29"/>
    <w:rsid w:val="008A0BC8"/>
    <w:rsid w:val="008A0C13"/>
    <w:rsid w:val="008A0D00"/>
    <w:rsid w:val="008A0E16"/>
    <w:rsid w:val="008A0E34"/>
    <w:rsid w:val="008A10D9"/>
    <w:rsid w:val="008A1793"/>
    <w:rsid w:val="008A1DC1"/>
    <w:rsid w:val="008A2811"/>
    <w:rsid w:val="008A2819"/>
    <w:rsid w:val="008A2A36"/>
    <w:rsid w:val="008A3184"/>
    <w:rsid w:val="008A3252"/>
    <w:rsid w:val="008A33E4"/>
    <w:rsid w:val="008A3578"/>
    <w:rsid w:val="008A363E"/>
    <w:rsid w:val="008A3741"/>
    <w:rsid w:val="008A3C74"/>
    <w:rsid w:val="008A4A95"/>
    <w:rsid w:val="008A4C0B"/>
    <w:rsid w:val="008A4C56"/>
    <w:rsid w:val="008A4EF6"/>
    <w:rsid w:val="008A5556"/>
    <w:rsid w:val="008A58AA"/>
    <w:rsid w:val="008A6216"/>
    <w:rsid w:val="008A6AC0"/>
    <w:rsid w:val="008A6FC8"/>
    <w:rsid w:val="008A6FF0"/>
    <w:rsid w:val="008A7186"/>
    <w:rsid w:val="008A75DF"/>
    <w:rsid w:val="008A7698"/>
    <w:rsid w:val="008A7B35"/>
    <w:rsid w:val="008B013B"/>
    <w:rsid w:val="008B069A"/>
    <w:rsid w:val="008B08AA"/>
    <w:rsid w:val="008B0B6A"/>
    <w:rsid w:val="008B0C0E"/>
    <w:rsid w:val="008B0E91"/>
    <w:rsid w:val="008B0FA6"/>
    <w:rsid w:val="008B12CB"/>
    <w:rsid w:val="008B12ED"/>
    <w:rsid w:val="008B1A7D"/>
    <w:rsid w:val="008B1CD5"/>
    <w:rsid w:val="008B1E24"/>
    <w:rsid w:val="008B31BD"/>
    <w:rsid w:val="008B3622"/>
    <w:rsid w:val="008B38FA"/>
    <w:rsid w:val="008B3907"/>
    <w:rsid w:val="008B39AC"/>
    <w:rsid w:val="008B3CDB"/>
    <w:rsid w:val="008B41CE"/>
    <w:rsid w:val="008B4967"/>
    <w:rsid w:val="008B4BA9"/>
    <w:rsid w:val="008B4DE2"/>
    <w:rsid w:val="008B546A"/>
    <w:rsid w:val="008B5821"/>
    <w:rsid w:val="008B5973"/>
    <w:rsid w:val="008B5B05"/>
    <w:rsid w:val="008B5D58"/>
    <w:rsid w:val="008B5E9B"/>
    <w:rsid w:val="008B5FB1"/>
    <w:rsid w:val="008B64DC"/>
    <w:rsid w:val="008B6B4B"/>
    <w:rsid w:val="008B6DF2"/>
    <w:rsid w:val="008B742A"/>
    <w:rsid w:val="008B7F74"/>
    <w:rsid w:val="008C0685"/>
    <w:rsid w:val="008C0C04"/>
    <w:rsid w:val="008C128B"/>
    <w:rsid w:val="008C1960"/>
    <w:rsid w:val="008C1BF4"/>
    <w:rsid w:val="008C1DD3"/>
    <w:rsid w:val="008C1F0D"/>
    <w:rsid w:val="008C1F1A"/>
    <w:rsid w:val="008C2044"/>
    <w:rsid w:val="008C2706"/>
    <w:rsid w:val="008C293A"/>
    <w:rsid w:val="008C2AE7"/>
    <w:rsid w:val="008C2C1A"/>
    <w:rsid w:val="008C2C67"/>
    <w:rsid w:val="008C2E5C"/>
    <w:rsid w:val="008C30C3"/>
    <w:rsid w:val="008C30C7"/>
    <w:rsid w:val="008C3F73"/>
    <w:rsid w:val="008C4301"/>
    <w:rsid w:val="008C44B5"/>
    <w:rsid w:val="008C4609"/>
    <w:rsid w:val="008C4E1D"/>
    <w:rsid w:val="008C53DB"/>
    <w:rsid w:val="008C5431"/>
    <w:rsid w:val="008C5700"/>
    <w:rsid w:val="008C6203"/>
    <w:rsid w:val="008C66F0"/>
    <w:rsid w:val="008C6703"/>
    <w:rsid w:val="008C6A0B"/>
    <w:rsid w:val="008C6B6B"/>
    <w:rsid w:val="008C70B9"/>
    <w:rsid w:val="008C7779"/>
    <w:rsid w:val="008C77B5"/>
    <w:rsid w:val="008C77F4"/>
    <w:rsid w:val="008C7821"/>
    <w:rsid w:val="008C7868"/>
    <w:rsid w:val="008C7AE0"/>
    <w:rsid w:val="008C7AEC"/>
    <w:rsid w:val="008C7B60"/>
    <w:rsid w:val="008D03E4"/>
    <w:rsid w:val="008D046F"/>
    <w:rsid w:val="008D04CE"/>
    <w:rsid w:val="008D0668"/>
    <w:rsid w:val="008D06B0"/>
    <w:rsid w:val="008D083A"/>
    <w:rsid w:val="008D09D9"/>
    <w:rsid w:val="008D0A10"/>
    <w:rsid w:val="008D18F4"/>
    <w:rsid w:val="008D23AD"/>
    <w:rsid w:val="008D2590"/>
    <w:rsid w:val="008D2728"/>
    <w:rsid w:val="008D2964"/>
    <w:rsid w:val="008D2A9A"/>
    <w:rsid w:val="008D2BA1"/>
    <w:rsid w:val="008D2BFD"/>
    <w:rsid w:val="008D2C86"/>
    <w:rsid w:val="008D347D"/>
    <w:rsid w:val="008D3711"/>
    <w:rsid w:val="008D3D3F"/>
    <w:rsid w:val="008D3DDB"/>
    <w:rsid w:val="008D3F0D"/>
    <w:rsid w:val="008D4269"/>
    <w:rsid w:val="008D4301"/>
    <w:rsid w:val="008D49FF"/>
    <w:rsid w:val="008D4ACE"/>
    <w:rsid w:val="008D5031"/>
    <w:rsid w:val="008D50DA"/>
    <w:rsid w:val="008D5536"/>
    <w:rsid w:val="008D56A7"/>
    <w:rsid w:val="008D5D40"/>
    <w:rsid w:val="008D614D"/>
    <w:rsid w:val="008D61FB"/>
    <w:rsid w:val="008D6240"/>
    <w:rsid w:val="008D7A4C"/>
    <w:rsid w:val="008D7DF8"/>
    <w:rsid w:val="008E09AC"/>
    <w:rsid w:val="008E0E97"/>
    <w:rsid w:val="008E107F"/>
    <w:rsid w:val="008E10A2"/>
    <w:rsid w:val="008E1392"/>
    <w:rsid w:val="008E147E"/>
    <w:rsid w:val="008E1825"/>
    <w:rsid w:val="008E1B60"/>
    <w:rsid w:val="008E1C76"/>
    <w:rsid w:val="008E1CFF"/>
    <w:rsid w:val="008E1E40"/>
    <w:rsid w:val="008E1E85"/>
    <w:rsid w:val="008E1F30"/>
    <w:rsid w:val="008E2068"/>
    <w:rsid w:val="008E2222"/>
    <w:rsid w:val="008E259A"/>
    <w:rsid w:val="008E267C"/>
    <w:rsid w:val="008E2712"/>
    <w:rsid w:val="008E2CF6"/>
    <w:rsid w:val="008E345C"/>
    <w:rsid w:val="008E36D3"/>
    <w:rsid w:val="008E4207"/>
    <w:rsid w:val="008E4893"/>
    <w:rsid w:val="008E4D21"/>
    <w:rsid w:val="008E4D44"/>
    <w:rsid w:val="008E53D6"/>
    <w:rsid w:val="008E5987"/>
    <w:rsid w:val="008E5B3E"/>
    <w:rsid w:val="008E5CCB"/>
    <w:rsid w:val="008E5D0B"/>
    <w:rsid w:val="008E5D76"/>
    <w:rsid w:val="008E5E27"/>
    <w:rsid w:val="008E65AF"/>
    <w:rsid w:val="008E6823"/>
    <w:rsid w:val="008E6C30"/>
    <w:rsid w:val="008E6CDE"/>
    <w:rsid w:val="008E6E9E"/>
    <w:rsid w:val="008E783B"/>
    <w:rsid w:val="008E7AA3"/>
    <w:rsid w:val="008E7D5D"/>
    <w:rsid w:val="008E7E8C"/>
    <w:rsid w:val="008F0005"/>
    <w:rsid w:val="008F030A"/>
    <w:rsid w:val="008F0463"/>
    <w:rsid w:val="008F0632"/>
    <w:rsid w:val="008F0870"/>
    <w:rsid w:val="008F1040"/>
    <w:rsid w:val="008F1342"/>
    <w:rsid w:val="008F1BB8"/>
    <w:rsid w:val="008F1C95"/>
    <w:rsid w:val="008F1CFA"/>
    <w:rsid w:val="008F1F05"/>
    <w:rsid w:val="008F1F95"/>
    <w:rsid w:val="008F2088"/>
    <w:rsid w:val="008F22AE"/>
    <w:rsid w:val="008F25FE"/>
    <w:rsid w:val="008F26D6"/>
    <w:rsid w:val="008F2750"/>
    <w:rsid w:val="008F2A85"/>
    <w:rsid w:val="008F31B3"/>
    <w:rsid w:val="008F351D"/>
    <w:rsid w:val="008F35D8"/>
    <w:rsid w:val="008F35E2"/>
    <w:rsid w:val="008F3826"/>
    <w:rsid w:val="008F3883"/>
    <w:rsid w:val="008F3D65"/>
    <w:rsid w:val="008F49F6"/>
    <w:rsid w:val="008F4B75"/>
    <w:rsid w:val="008F4BE4"/>
    <w:rsid w:val="008F4D2D"/>
    <w:rsid w:val="008F52BA"/>
    <w:rsid w:val="008F5861"/>
    <w:rsid w:val="008F5AB3"/>
    <w:rsid w:val="008F5BC8"/>
    <w:rsid w:val="008F5D48"/>
    <w:rsid w:val="008F62C5"/>
    <w:rsid w:val="008F64BF"/>
    <w:rsid w:val="008F6510"/>
    <w:rsid w:val="008F69C9"/>
    <w:rsid w:val="008F69DD"/>
    <w:rsid w:val="008F6E35"/>
    <w:rsid w:val="008F6EC1"/>
    <w:rsid w:val="008F6F5E"/>
    <w:rsid w:val="008F717B"/>
    <w:rsid w:val="008F72FE"/>
    <w:rsid w:val="008F73BD"/>
    <w:rsid w:val="008F7560"/>
    <w:rsid w:val="008F75AF"/>
    <w:rsid w:val="008F764F"/>
    <w:rsid w:val="008F78C7"/>
    <w:rsid w:val="008F7CF9"/>
    <w:rsid w:val="008F7F6D"/>
    <w:rsid w:val="0090065D"/>
    <w:rsid w:val="00900765"/>
    <w:rsid w:val="009007B2"/>
    <w:rsid w:val="009009AF"/>
    <w:rsid w:val="00900A7D"/>
    <w:rsid w:val="0090151A"/>
    <w:rsid w:val="009016EB"/>
    <w:rsid w:val="00901747"/>
    <w:rsid w:val="00901AF3"/>
    <w:rsid w:val="00901BBC"/>
    <w:rsid w:val="009027DD"/>
    <w:rsid w:val="00902BAC"/>
    <w:rsid w:val="009033B6"/>
    <w:rsid w:val="00903700"/>
    <w:rsid w:val="00903B4E"/>
    <w:rsid w:val="00903DBE"/>
    <w:rsid w:val="009040E9"/>
    <w:rsid w:val="00904164"/>
    <w:rsid w:val="009041C9"/>
    <w:rsid w:val="0090420B"/>
    <w:rsid w:val="00904298"/>
    <w:rsid w:val="009042C5"/>
    <w:rsid w:val="0090445D"/>
    <w:rsid w:val="009044DE"/>
    <w:rsid w:val="00904B59"/>
    <w:rsid w:val="00905206"/>
    <w:rsid w:val="00905376"/>
    <w:rsid w:val="00905622"/>
    <w:rsid w:val="00905737"/>
    <w:rsid w:val="009057B2"/>
    <w:rsid w:val="00905BC6"/>
    <w:rsid w:val="00905C35"/>
    <w:rsid w:val="009064C6"/>
    <w:rsid w:val="00906661"/>
    <w:rsid w:val="00906B59"/>
    <w:rsid w:val="009070ED"/>
    <w:rsid w:val="00907149"/>
    <w:rsid w:val="0090731A"/>
    <w:rsid w:val="009075A0"/>
    <w:rsid w:val="00907657"/>
    <w:rsid w:val="00907CC4"/>
    <w:rsid w:val="00907DB3"/>
    <w:rsid w:val="00907DC9"/>
    <w:rsid w:val="00907EC4"/>
    <w:rsid w:val="0091034C"/>
    <w:rsid w:val="0091036E"/>
    <w:rsid w:val="00910649"/>
    <w:rsid w:val="009107A3"/>
    <w:rsid w:val="00910959"/>
    <w:rsid w:val="00911762"/>
    <w:rsid w:val="00911BFE"/>
    <w:rsid w:val="00912075"/>
    <w:rsid w:val="009122C9"/>
    <w:rsid w:val="00912306"/>
    <w:rsid w:val="00912748"/>
    <w:rsid w:val="0091298C"/>
    <w:rsid w:val="009129EB"/>
    <w:rsid w:val="00912E23"/>
    <w:rsid w:val="00912E4F"/>
    <w:rsid w:val="00913017"/>
    <w:rsid w:val="009131D7"/>
    <w:rsid w:val="00913295"/>
    <w:rsid w:val="009133C8"/>
    <w:rsid w:val="00913742"/>
    <w:rsid w:val="00914553"/>
    <w:rsid w:val="00914946"/>
    <w:rsid w:val="00914A50"/>
    <w:rsid w:val="00914BFE"/>
    <w:rsid w:val="00914D16"/>
    <w:rsid w:val="00915470"/>
    <w:rsid w:val="00915D69"/>
    <w:rsid w:val="00915DB2"/>
    <w:rsid w:val="0091607A"/>
    <w:rsid w:val="00916718"/>
    <w:rsid w:val="00916BEB"/>
    <w:rsid w:val="00916F3A"/>
    <w:rsid w:val="0091702C"/>
    <w:rsid w:val="00917359"/>
    <w:rsid w:val="00917543"/>
    <w:rsid w:val="0091782F"/>
    <w:rsid w:val="0091791B"/>
    <w:rsid w:val="00917F91"/>
    <w:rsid w:val="00920165"/>
    <w:rsid w:val="00920584"/>
    <w:rsid w:val="009211E2"/>
    <w:rsid w:val="009213CC"/>
    <w:rsid w:val="00921514"/>
    <w:rsid w:val="00921825"/>
    <w:rsid w:val="009218F3"/>
    <w:rsid w:val="0092190D"/>
    <w:rsid w:val="00921C94"/>
    <w:rsid w:val="00921D2B"/>
    <w:rsid w:val="0092257A"/>
    <w:rsid w:val="00922ACA"/>
    <w:rsid w:val="00922D08"/>
    <w:rsid w:val="00922DB1"/>
    <w:rsid w:val="00922FC7"/>
    <w:rsid w:val="009231BD"/>
    <w:rsid w:val="00923316"/>
    <w:rsid w:val="0092397C"/>
    <w:rsid w:val="00923C68"/>
    <w:rsid w:val="00923FAF"/>
    <w:rsid w:val="00923FC8"/>
    <w:rsid w:val="00924B21"/>
    <w:rsid w:val="00924E3E"/>
    <w:rsid w:val="00924FF5"/>
    <w:rsid w:val="009253C1"/>
    <w:rsid w:val="0092553B"/>
    <w:rsid w:val="00925A4A"/>
    <w:rsid w:val="00925B46"/>
    <w:rsid w:val="00926008"/>
    <w:rsid w:val="00926065"/>
    <w:rsid w:val="009269FC"/>
    <w:rsid w:val="009272C0"/>
    <w:rsid w:val="009275DA"/>
    <w:rsid w:val="00927A93"/>
    <w:rsid w:val="00927CEA"/>
    <w:rsid w:val="00927D55"/>
    <w:rsid w:val="0093021B"/>
    <w:rsid w:val="0093025F"/>
    <w:rsid w:val="00930474"/>
    <w:rsid w:val="00930BFE"/>
    <w:rsid w:val="00931236"/>
    <w:rsid w:val="00931299"/>
    <w:rsid w:val="009315DF"/>
    <w:rsid w:val="00931717"/>
    <w:rsid w:val="00931A42"/>
    <w:rsid w:val="0093207F"/>
    <w:rsid w:val="00932251"/>
    <w:rsid w:val="00932458"/>
    <w:rsid w:val="0093249B"/>
    <w:rsid w:val="00932A4E"/>
    <w:rsid w:val="00933C63"/>
    <w:rsid w:val="00933CE0"/>
    <w:rsid w:val="00933DDB"/>
    <w:rsid w:val="00933E2C"/>
    <w:rsid w:val="00933F4E"/>
    <w:rsid w:val="00933FFE"/>
    <w:rsid w:val="009340C9"/>
    <w:rsid w:val="00934174"/>
    <w:rsid w:val="0093431D"/>
    <w:rsid w:val="0093453C"/>
    <w:rsid w:val="00934787"/>
    <w:rsid w:val="00934860"/>
    <w:rsid w:val="00935068"/>
    <w:rsid w:val="0093515E"/>
    <w:rsid w:val="0093542C"/>
    <w:rsid w:val="00935446"/>
    <w:rsid w:val="009355B9"/>
    <w:rsid w:val="00935C86"/>
    <w:rsid w:val="00935FF0"/>
    <w:rsid w:val="00936107"/>
    <w:rsid w:val="009362A6"/>
    <w:rsid w:val="00936445"/>
    <w:rsid w:val="00936557"/>
    <w:rsid w:val="00936CF9"/>
    <w:rsid w:val="00936DDD"/>
    <w:rsid w:val="00936F5A"/>
    <w:rsid w:val="009376A2"/>
    <w:rsid w:val="009377A1"/>
    <w:rsid w:val="00937AE3"/>
    <w:rsid w:val="00937B5B"/>
    <w:rsid w:val="00937BF8"/>
    <w:rsid w:val="00937C70"/>
    <w:rsid w:val="00940378"/>
    <w:rsid w:val="0094070B"/>
    <w:rsid w:val="00940C17"/>
    <w:rsid w:val="009414B1"/>
    <w:rsid w:val="00941A28"/>
    <w:rsid w:val="00941E63"/>
    <w:rsid w:val="00941ECA"/>
    <w:rsid w:val="009427F5"/>
    <w:rsid w:val="00942F38"/>
    <w:rsid w:val="00943049"/>
    <w:rsid w:val="00943180"/>
    <w:rsid w:val="009432E7"/>
    <w:rsid w:val="00943483"/>
    <w:rsid w:val="00943D3C"/>
    <w:rsid w:val="009442E3"/>
    <w:rsid w:val="0094448A"/>
    <w:rsid w:val="0094475E"/>
    <w:rsid w:val="00944EFC"/>
    <w:rsid w:val="00945127"/>
    <w:rsid w:val="00945133"/>
    <w:rsid w:val="00945C31"/>
    <w:rsid w:val="00945CD1"/>
    <w:rsid w:val="00946067"/>
    <w:rsid w:val="009460AD"/>
    <w:rsid w:val="0094665F"/>
    <w:rsid w:val="00946A3B"/>
    <w:rsid w:val="009470B2"/>
    <w:rsid w:val="009470E2"/>
    <w:rsid w:val="00947133"/>
    <w:rsid w:val="00947708"/>
    <w:rsid w:val="00947E57"/>
    <w:rsid w:val="00950111"/>
    <w:rsid w:val="00950538"/>
    <w:rsid w:val="00950A42"/>
    <w:rsid w:val="00950C87"/>
    <w:rsid w:val="0095109D"/>
    <w:rsid w:val="0095161F"/>
    <w:rsid w:val="009516CE"/>
    <w:rsid w:val="009517D8"/>
    <w:rsid w:val="00951999"/>
    <w:rsid w:val="00951C9A"/>
    <w:rsid w:val="009520D2"/>
    <w:rsid w:val="009523E8"/>
    <w:rsid w:val="0095276B"/>
    <w:rsid w:val="0095289B"/>
    <w:rsid w:val="00952E23"/>
    <w:rsid w:val="00952F90"/>
    <w:rsid w:val="009530FF"/>
    <w:rsid w:val="009531D9"/>
    <w:rsid w:val="009533D8"/>
    <w:rsid w:val="0095381C"/>
    <w:rsid w:val="00953B0E"/>
    <w:rsid w:val="00953BA9"/>
    <w:rsid w:val="00953D12"/>
    <w:rsid w:val="00954177"/>
    <w:rsid w:val="009544D6"/>
    <w:rsid w:val="00954568"/>
    <w:rsid w:val="00954A80"/>
    <w:rsid w:val="00954DD3"/>
    <w:rsid w:val="00954F01"/>
    <w:rsid w:val="00955088"/>
    <w:rsid w:val="009550AA"/>
    <w:rsid w:val="009556F3"/>
    <w:rsid w:val="00955751"/>
    <w:rsid w:val="00955A8B"/>
    <w:rsid w:val="00955D37"/>
    <w:rsid w:val="00955E59"/>
    <w:rsid w:val="00956046"/>
    <w:rsid w:val="009561F2"/>
    <w:rsid w:val="00956326"/>
    <w:rsid w:val="00956F94"/>
    <w:rsid w:val="00957045"/>
    <w:rsid w:val="00957319"/>
    <w:rsid w:val="00957485"/>
    <w:rsid w:val="00957A01"/>
    <w:rsid w:val="00957A08"/>
    <w:rsid w:val="00957ACE"/>
    <w:rsid w:val="00957AD1"/>
    <w:rsid w:val="00957B16"/>
    <w:rsid w:val="00957D83"/>
    <w:rsid w:val="0096012A"/>
    <w:rsid w:val="0096043D"/>
    <w:rsid w:val="009604A9"/>
    <w:rsid w:val="00960E5A"/>
    <w:rsid w:val="00961134"/>
    <w:rsid w:val="0096142B"/>
    <w:rsid w:val="00961492"/>
    <w:rsid w:val="00961CDE"/>
    <w:rsid w:val="00961E64"/>
    <w:rsid w:val="00962020"/>
    <w:rsid w:val="00962281"/>
    <w:rsid w:val="009623AC"/>
    <w:rsid w:val="009627EA"/>
    <w:rsid w:val="00962C28"/>
    <w:rsid w:val="00962C65"/>
    <w:rsid w:val="0096307C"/>
    <w:rsid w:val="009641B2"/>
    <w:rsid w:val="009643A3"/>
    <w:rsid w:val="00964587"/>
    <w:rsid w:val="00964667"/>
    <w:rsid w:val="009646DB"/>
    <w:rsid w:val="009647C7"/>
    <w:rsid w:val="009649D2"/>
    <w:rsid w:val="00964C99"/>
    <w:rsid w:val="00964DC2"/>
    <w:rsid w:val="0096596B"/>
    <w:rsid w:val="00965ABF"/>
    <w:rsid w:val="00965C30"/>
    <w:rsid w:val="00965C3A"/>
    <w:rsid w:val="009660A0"/>
    <w:rsid w:val="00966158"/>
    <w:rsid w:val="009662D6"/>
    <w:rsid w:val="009664ED"/>
    <w:rsid w:val="00966A2F"/>
    <w:rsid w:val="00966BFA"/>
    <w:rsid w:val="00966C0E"/>
    <w:rsid w:val="00966CCC"/>
    <w:rsid w:val="00966E43"/>
    <w:rsid w:val="009671CF"/>
    <w:rsid w:val="009673FA"/>
    <w:rsid w:val="00967EA6"/>
    <w:rsid w:val="0097001A"/>
    <w:rsid w:val="009700F6"/>
    <w:rsid w:val="009702B0"/>
    <w:rsid w:val="00970921"/>
    <w:rsid w:val="009709F1"/>
    <w:rsid w:val="00970F8C"/>
    <w:rsid w:val="00971098"/>
    <w:rsid w:val="00971218"/>
    <w:rsid w:val="0097123C"/>
    <w:rsid w:val="00971871"/>
    <w:rsid w:val="00972B2C"/>
    <w:rsid w:val="00972B43"/>
    <w:rsid w:val="00973C25"/>
    <w:rsid w:val="00973E1B"/>
    <w:rsid w:val="00974065"/>
    <w:rsid w:val="009741D9"/>
    <w:rsid w:val="00974237"/>
    <w:rsid w:val="009744E7"/>
    <w:rsid w:val="00975323"/>
    <w:rsid w:val="009754E9"/>
    <w:rsid w:val="009758D4"/>
    <w:rsid w:val="00975A58"/>
    <w:rsid w:val="00975B91"/>
    <w:rsid w:val="0097630E"/>
    <w:rsid w:val="009766F9"/>
    <w:rsid w:val="0097675C"/>
    <w:rsid w:val="00977039"/>
    <w:rsid w:val="0097709F"/>
    <w:rsid w:val="0097755B"/>
    <w:rsid w:val="00977A0C"/>
    <w:rsid w:val="00977BA1"/>
    <w:rsid w:val="009800D8"/>
    <w:rsid w:val="00980352"/>
    <w:rsid w:val="00980619"/>
    <w:rsid w:val="009807DE"/>
    <w:rsid w:val="00980874"/>
    <w:rsid w:val="0098091C"/>
    <w:rsid w:val="00980D3F"/>
    <w:rsid w:val="00981265"/>
    <w:rsid w:val="00981547"/>
    <w:rsid w:val="00981A8C"/>
    <w:rsid w:val="00981B59"/>
    <w:rsid w:val="00981C08"/>
    <w:rsid w:val="0098225B"/>
    <w:rsid w:val="00982566"/>
    <w:rsid w:val="009829E8"/>
    <w:rsid w:val="00982AB2"/>
    <w:rsid w:val="00982B24"/>
    <w:rsid w:val="00983192"/>
    <w:rsid w:val="00983639"/>
    <w:rsid w:val="009839B3"/>
    <w:rsid w:val="00983C13"/>
    <w:rsid w:val="00983E45"/>
    <w:rsid w:val="009840FD"/>
    <w:rsid w:val="00984603"/>
    <w:rsid w:val="00984756"/>
    <w:rsid w:val="009849A0"/>
    <w:rsid w:val="009850B5"/>
    <w:rsid w:val="00985324"/>
    <w:rsid w:val="009854DF"/>
    <w:rsid w:val="009857F5"/>
    <w:rsid w:val="00985846"/>
    <w:rsid w:val="009859A8"/>
    <w:rsid w:val="00985A8D"/>
    <w:rsid w:val="009860E1"/>
    <w:rsid w:val="009860E6"/>
    <w:rsid w:val="00986333"/>
    <w:rsid w:val="0098657C"/>
    <w:rsid w:val="009865B7"/>
    <w:rsid w:val="00986D5D"/>
    <w:rsid w:val="00986DFD"/>
    <w:rsid w:val="00986F33"/>
    <w:rsid w:val="0098718F"/>
    <w:rsid w:val="0098756E"/>
    <w:rsid w:val="00987679"/>
    <w:rsid w:val="0098795E"/>
    <w:rsid w:val="009902D7"/>
    <w:rsid w:val="009906B0"/>
    <w:rsid w:val="00990704"/>
    <w:rsid w:val="00990D9B"/>
    <w:rsid w:val="00990E42"/>
    <w:rsid w:val="00990EE1"/>
    <w:rsid w:val="00990F6C"/>
    <w:rsid w:val="009911C0"/>
    <w:rsid w:val="00991350"/>
    <w:rsid w:val="00991496"/>
    <w:rsid w:val="00991570"/>
    <w:rsid w:val="009924D8"/>
    <w:rsid w:val="00992685"/>
    <w:rsid w:val="00992819"/>
    <w:rsid w:val="00992AFC"/>
    <w:rsid w:val="00992BB2"/>
    <w:rsid w:val="00992C74"/>
    <w:rsid w:val="00992F17"/>
    <w:rsid w:val="0099349D"/>
    <w:rsid w:val="00993538"/>
    <w:rsid w:val="009935B0"/>
    <w:rsid w:val="0099376A"/>
    <w:rsid w:val="00993A9F"/>
    <w:rsid w:val="00993E76"/>
    <w:rsid w:val="00993FC5"/>
    <w:rsid w:val="009943EE"/>
    <w:rsid w:val="009945A6"/>
    <w:rsid w:val="0099476C"/>
    <w:rsid w:val="00994A43"/>
    <w:rsid w:val="00994E0F"/>
    <w:rsid w:val="009950FE"/>
    <w:rsid w:val="0099584D"/>
    <w:rsid w:val="00995B70"/>
    <w:rsid w:val="00995BA9"/>
    <w:rsid w:val="00996203"/>
    <w:rsid w:val="009966D7"/>
    <w:rsid w:val="00996CC8"/>
    <w:rsid w:val="00996E5F"/>
    <w:rsid w:val="00996F07"/>
    <w:rsid w:val="00996FFE"/>
    <w:rsid w:val="0099753F"/>
    <w:rsid w:val="009975D1"/>
    <w:rsid w:val="00997BAC"/>
    <w:rsid w:val="00997BF5"/>
    <w:rsid w:val="00997D3B"/>
    <w:rsid w:val="009A014A"/>
    <w:rsid w:val="009A0372"/>
    <w:rsid w:val="009A0F4B"/>
    <w:rsid w:val="009A0FB9"/>
    <w:rsid w:val="009A10B1"/>
    <w:rsid w:val="009A15D6"/>
    <w:rsid w:val="009A18D8"/>
    <w:rsid w:val="009A1F07"/>
    <w:rsid w:val="009A2360"/>
    <w:rsid w:val="009A244D"/>
    <w:rsid w:val="009A2731"/>
    <w:rsid w:val="009A2BC8"/>
    <w:rsid w:val="009A2D52"/>
    <w:rsid w:val="009A3A15"/>
    <w:rsid w:val="009A45AD"/>
    <w:rsid w:val="009A4B7C"/>
    <w:rsid w:val="009A4D37"/>
    <w:rsid w:val="009A4E05"/>
    <w:rsid w:val="009A4EED"/>
    <w:rsid w:val="009A524E"/>
    <w:rsid w:val="009A5874"/>
    <w:rsid w:val="009A5905"/>
    <w:rsid w:val="009A5C50"/>
    <w:rsid w:val="009A5CEA"/>
    <w:rsid w:val="009A5DDD"/>
    <w:rsid w:val="009A6648"/>
    <w:rsid w:val="009A6AA2"/>
    <w:rsid w:val="009A6F00"/>
    <w:rsid w:val="009A709D"/>
    <w:rsid w:val="009A70E3"/>
    <w:rsid w:val="009A70F5"/>
    <w:rsid w:val="009A7331"/>
    <w:rsid w:val="009A76E0"/>
    <w:rsid w:val="009A771A"/>
    <w:rsid w:val="009A786A"/>
    <w:rsid w:val="009A79B3"/>
    <w:rsid w:val="009A7B98"/>
    <w:rsid w:val="009A7D69"/>
    <w:rsid w:val="009A7E68"/>
    <w:rsid w:val="009B0179"/>
    <w:rsid w:val="009B05C5"/>
    <w:rsid w:val="009B0B0E"/>
    <w:rsid w:val="009B0D10"/>
    <w:rsid w:val="009B0D87"/>
    <w:rsid w:val="009B0EF0"/>
    <w:rsid w:val="009B0FF1"/>
    <w:rsid w:val="009B11B5"/>
    <w:rsid w:val="009B1686"/>
    <w:rsid w:val="009B18FE"/>
    <w:rsid w:val="009B19C5"/>
    <w:rsid w:val="009B19EC"/>
    <w:rsid w:val="009B1C18"/>
    <w:rsid w:val="009B1D9F"/>
    <w:rsid w:val="009B1EC9"/>
    <w:rsid w:val="009B1FFD"/>
    <w:rsid w:val="009B25A1"/>
    <w:rsid w:val="009B27C5"/>
    <w:rsid w:val="009B3037"/>
    <w:rsid w:val="009B315C"/>
    <w:rsid w:val="009B31CC"/>
    <w:rsid w:val="009B3292"/>
    <w:rsid w:val="009B3311"/>
    <w:rsid w:val="009B3725"/>
    <w:rsid w:val="009B38BF"/>
    <w:rsid w:val="009B3D4B"/>
    <w:rsid w:val="009B4435"/>
    <w:rsid w:val="009B46AA"/>
    <w:rsid w:val="009B46C5"/>
    <w:rsid w:val="009B485E"/>
    <w:rsid w:val="009B4C1A"/>
    <w:rsid w:val="009B4E7C"/>
    <w:rsid w:val="009B5B3E"/>
    <w:rsid w:val="009B5DEB"/>
    <w:rsid w:val="009B6D9C"/>
    <w:rsid w:val="009B6E97"/>
    <w:rsid w:val="009B70CF"/>
    <w:rsid w:val="009B73AC"/>
    <w:rsid w:val="009B746C"/>
    <w:rsid w:val="009B7D48"/>
    <w:rsid w:val="009B7FA9"/>
    <w:rsid w:val="009C0101"/>
    <w:rsid w:val="009C02A7"/>
    <w:rsid w:val="009C083C"/>
    <w:rsid w:val="009C111F"/>
    <w:rsid w:val="009C1895"/>
    <w:rsid w:val="009C1BD8"/>
    <w:rsid w:val="009C1D8E"/>
    <w:rsid w:val="009C1DE0"/>
    <w:rsid w:val="009C2494"/>
    <w:rsid w:val="009C2811"/>
    <w:rsid w:val="009C2896"/>
    <w:rsid w:val="009C29E1"/>
    <w:rsid w:val="009C2B94"/>
    <w:rsid w:val="009C2BE1"/>
    <w:rsid w:val="009C3125"/>
    <w:rsid w:val="009C3959"/>
    <w:rsid w:val="009C408D"/>
    <w:rsid w:val="009C41C7"/>
    <w:rsid w:val="009C45BD"/>
    <w:rsid w:val="009C46FC"/>
    <w:rsid w:val="009C47C6"/>
    <w:rsid w:val="009C4821"/>
    <w:rsid w:val="009C499E"/>
    <w:rsid w:val="009C4CF8"/>
    <w:rsid w:val="009C50BE"/>
    <w:rsid w:val="009C5293"/>
    <w:rsid w:val="009C5317"/>
    <w:rsid w:val="009C543C"/>
    <w:rsid w:val="009C56D1"/>
    <w:rsid w:val="009C5CAA"/>
    <w:rsid w:val="009C6743"/>
    <w:rsid w:val="009C6745"/>
    <w:rsid w:val="009C67F6"/>
    <w:rsid w:val="009C6C8A"/>
    <w:rsid w:val="009C6CC4"/>
    <w:rsid w:val="009C6D2D"/>
    <w:rsid w:val="009C706A"/>
    <w:rsid w:val="009C70B1"/>
    <w:rsid w:val="009C71F6"/>
    <w:rsid w:val="009C72A3"/>
    <w:rsid w:val="009C74F3"/>
    <w:rsid w:val="009C7950"/>
    <w:rsid w:val="009D018C"/>
    <w:rsid w:val="009D0244"/>
    <w:rsid w:val="009D0370"/>
    <w:rsid w:val="009D0778"/>
    <w:rsid w:val="009D077D"/>
    <w:rsid w:val="009D0B22"/>
    <w:rsid w:val="009D1088"/>
    <w:rsid w:val="009D10D7"/>
    <w:rsid w:val="009D1115"/>
    <w:rsid w:val="009D1351"/>
    <w:rsid w:val="009D1435"/>
    <w:rsid w:val="009D152F"/>
    <w:rsid w:val="009D173E"/>
    <w:rsid w:val="009D1E5F"/>
    <w:rsid w:val="009D21EC"/>
    <w:rsid w:val="009D2493"/>
    <w:rsid w:val="009D2BE4"/>
    <w:rsid w:val="009D2CA1"/>
    <w:rsid w:val="009D2D86"/>
    <w:rsid w:val="009D2DE6"/>
    <w:rsid w:val="009D3249"/>
    <w:rsid w:val="009D3449"/>
    <w:rsid w:val="009D3847"/>
    <w:rsid w:val="009D38BE"/>
    <w:rsid w:val="009D3976"/>
    <w:rsid w:val="009D40C1"/>
    <w:rsid w:val="009D41B6"/>
    <w:rsid w:val="009D4434"/>
    <w:rsid w:val="009D44B1"/>
    <w:rsid w:val="009D47E0"/>
    <w:rsid w:val="009D4974"/>
    <w:rsid w:val="009D4A1C"/>
    <w:rsid w:val="009D4B5E"/>
    <w:rsid w:val="009D4D67"/>
    <w:rsid w:val="009D54D4"/>
    <w:rsid w:val="009D577A"/>
    <w:rsid w:val="009D5A03"/>
    <w:rsid w:val="009D5E8F"/>
    <w:rsid w:val="009D602F"/>
    <w:rsid w:val="009D62A3"/>
    <w:rsid w:val="009D6445"/>
    <w:rsid w:val="009D6567"/>
    <w:rsid w:val="009D6BA2"/>
    <w:rsid w:val="009D6E5E"/>
    <w:rsid w:val="009D6F2E"/>
    <w:rsid w:val="009D7282"/>
    <w:rsid w:val="009D72A0"/>
    <w:rsid w:val="009D77BB"/>
    <w:rsid w:val="009D7B32"/>
    <w:rsid w:val="009D7C35"/>
    <w:rsid w:val="009D7CDE"/>
    <w:rsid w:val="009D7D94"/>
    <w:rsid w:val="009D7DA7"/>
    <w:rsid w:val="009E0152"/>
    <w:rsid w:val="009E048F"/>
    <w:rsid w:val="009E04DE"/>
    <w:rsid w:val="009E0C36"/>
    <w:rsid w:val="009E1189"/>
    <w:rsid w:val="009E158C"/>
    <w:rsid w:val="009E1618"/>
    <w:rsid w:val="009E170B"/>
    <w:rsid w:val="009E1BF7"/>
    <w:rsid w:val="009E22E4"/>
    <w:rsid w:val="009E26F3"/>
    <w:rsid w:val="009E27B0"/>
    <w:rsid w:val="009E2BC8"/>
    <w:rsid w:val="009E2ED4"/>
    <w:rsid w:val="009E2F12"/>
    <w:rsid w:val="009E3A91"/>
    <w:rsid w:val="009E3AD9"/>
    <w:rsid w:val="009E3BAF"/>
    <w:rsid w:val="009E41A1"/>
    <w:rsid w:val="009E4218"/>
    <w:rsid w:val="009E433B"/>
    <w:rsid w:val="009E45C3"/>
    <w:rsid w:val="009E48AE"/>
    <w:rsid w:val="009E48F3"/>
    <w:rsid w:val="009E4CC0"/>
    <w:rsid w:val="009E5462"/>
    <w:rsid w:val="009E5625"/>
    <w:rsid w:val="009E5CAF"/>
    <w:rsid w:val="009E5F54"/>
    <w:rsid w:val="009E62C1"/>
    <w:rsid w:val="009E63BC"/>
    <w:rsid w:val="009E64BF"/>
    <w:rsid w:val="009E669D"/>
    <w:rsid w:val="009E6B82"/>
    <w:rsid w:val="009E6DF1"/>
    <w:rsid w:val="009E7369"/>
    <w:rsid w:val="009E73E0"/>
    <w:rsid w:val="009E748F"/>
    <w:rsid w:val="009E74E0"/>
    <w:rsid w:val="009E768C"/>
    <w:rsid w:val="009E7B9A"/>
    <w:rsid w:val="009F0219"/>
    <w:rsid w:val="009F0325"/>
    <w:rsid w:val="009F03D1"/>
    <w:rsid w:val="009F07AD"/>
    <w:rsid w:val="009F0893"/>
    <w:rsid w:val="009F08E2"/>
    <w:rsid w:val="009F094A"/>
    <w:rsid w:val="009F0BAA"/>
    <w:rsid w:val="009F0C4B"/>
    <w:rsid w:val="009F0C9A"/>
    <w:rsid w:val="009F0D40"/>
    <w:rsid w:val="009F0FFD"/>
    <w:rsid w:val="009F10D8"/>
    <w:rsid w:val="009F1210"/>
    <w:rsid w:val="009F17AE"/>
    <w:rsid w:val="009F1CC5"/>
    <w:rsid w:val="009F1D02"/>
    <w:rsid w:val="009F25D7"/>
    <w:rsid w:val="009F2B6B"/>
    <w:rsid w:val="009F2C1C"/>
    <w:rsid w:val="009F304C"/>
    <w:rsid w:val="009F3441"/>
    <w:rsid w:val="009F360C"/>
    <w:rsid w:val="009F3CBD"/>
    <w:rsid w:val="009F4115"/>
    <w:rsid w:val="009F44A6"/>
    <w:rsid w:val="009F47FF"/>
    <w:rsid w:val="009F4A5A"/>
    <w:rsid w:val="009F4D6A"/>
    <w:rsid w:val="009F4E16"/>
    <w:rsid w:val="009F4FFD"/>
    <w:rsid w:val="009F534A"/>
    <w:rsid w:val="009F5692"/>
    <w:rsid w:val="009F6046"/>
    <w:rsid w:val="009F6576"/>
    <w:rsid w:val="009F6A89"/>
    <w:rsid w:val="009F6B23"/>
    <w:rsid w:val="009F7150"/>
    <w:rsid w:val="009F766E"/>
    <w:rsid w:val="009F7FFA"/>
    <w:rsid w:val="00A0020F"/>
    <w:rsid w:val="00A013C4"/>
    <w:rsid w:val="00A01423"/>
    <w:rsid w:val="00A01739"/>
    <w:rsid w:val="00A01B83"/>
    <w:rsid w:val="00A0226B"/>
    <w:rsid w:val="00A0258D"/>
    <w:rsid w:val="00A025B2"/>
    <w:rsid w:val="00A02746"/>
    <w:rsid w:val="00A02A5C"/>
    <w:rsid w:val="00A02DF6"/>
    <w:rsid w:val="00A030C8"/>
    <w:rsid w:val="00A031BB"/>
    <w:rsid w:val="00A03577"/>
    <w:rsid w:val="00A03603"/>
    <w:rsid w:val="00A037A8"/>
    <w:rsid w:val="00A03947"/>
    <w:rsid w:val="00A0395D"/>
    <w:rsid w:val="00A03D43"/>
    <w:rsid w:val="00A0413D"/>
    <w:rsid w:val="00A049A9"/>
    <w:rsid w:val="00A04CFE"/>
    <w:rsid w:val="00A04E48"/>
    <w:rsid w:val="00A051F9"/>
    <w:rsid w:val="00A05468"/>
    <w:rsid w:val="00A058C1"/>
    <w:rsid w:val="00A05921"/>
    <w:rsid w:val="00A05E1A"/>
    <w:rsid w:val="00A05E75"/>
    <w:rsid w:val="00A0626E"/>
    <w:rsid w:val="00A06377"/>
    <w:rsid w:val="00A06A9D"/>
    <w:rsid w:val="00A06EC4"/>
    <w:rsid w:val="00A070C6"/>
    <w:rsid w:val="00A072EB"/>
    <w:rsid w:val="00A07640"/>
    <w:rsid w:val="00A07683"/>
    <w:rsid w:val="00A07966"/>
    <w:rsid w:val="00A079A7"/>
    <w:rsid w:val="00A07A02"/>
    <w:rsid w:val="00A07A78"/>
    <w:rsid w:val="00A07AF4"/>
    <w:rsid w:val="00A07CE4"/>
    <w:rsid w:val="00A07E90"/>
    <w:rsid w:val="00A07F1F"/>
    <w:rsid w:val="00A10329"/>
    <w:rsid w:val="00A10412"/>
    <w:rsid w:val="00A10422"/>
    <w:rsid w:val="00A10679"/>
    <w:rsid w:val="00A106AA"/>
    <w:rsid w:val="00A108CB"/>
    <w:rsid w:val="00A1093E"/>
    <w:rsid w:val="00A10A02"/>
    <w:rsid w:val="00A1100D"/>
    <w:rsid w:val="00A11489"/>
    <w:rsid w:val="00A11711"/>
    <w:rsid w:val="00A11D6B"/>
    <w:rsid w:val="00A11F18"/>
    <w:rsid w:val="00A1201D"/>
    <w:rsid w:val="00A1206E"/>
    <w:rsid w:val="00A12245"/>
    <w:rsid w:val="00A12E93"/>
    <w:rsid w:val="00A12FE0"/>
    <w:rsid w:val="00A13062"/>
    <w:rsid w:val="00A13151"/>
    <w:rsid w:val="00A134F2"/>
    <w:rsid w:val="00A137BC"/>
    <w:rsid w:val="00A1387E"/>
    <w:rsid w:val="00A13A7B"/>
    <w:rsid w:val="00A13D0A"/>
    <w:rsid w:val="00A141E2"/>
    <w:rsid w:val="00A146E0"/>
    <w:rsid w:val="00A148D9"/>
    <w:rsid w:val="00A14AB8"/>
    <w:rsid w:val="00A15692"/>
    <w:rsid w:val="00A15B66"/>
    <w:rsid w:val="00A15BAA"/>
    <w:rsid w:val="00A164E5"/>
    <w:rsid w:val="00A166C9"/>
    <w:rsid w:val="00A16A73"/>
    <w:rsid w:val="00A16CDF"/>
    <w:rsid w:val="00A17459"/>
    <w:rsid w:val="00A1759D"/>
    <w:rsid w:val="00A175E0"/>
    <w:rsid w:val="00A175F9"/>
    <w:rsid w:val="00A17E87"/>
    <w:rsid w:val="00A204F1"/>
    <w:rsid w:val="00A20584"/>
    <w:rsid w:val="00A205C9"/>
    <w:rsid w:val="00A21086"/>
    <w:rsid w:val="00A212CD"/>
    <w:rsid w:val="00A2136C"/>
    <w:rsid w:val="00A21A62"/>
    <w:rsid w:val="00A21C37"/>
    <w:rsid w:val="00A21FD3"/>
    <w:rsid w:val="00A220DA"/>
    <w:rsid w:val="00A22347"/>
    <w:rsid w:val="00A2265E"/>
    <w:rsid w:val="00A22818"/>
    <w:rsid w:val="00A22D64"/>
    <w:rsid w:val="00A2321F"/>
    <w:rsid w:val="00A23384"/>
    <w:rsid w:val="00A2349F"/>
    <w:rsid w:val="00A237A7"/>
    <w:rsid w:val="00A237C6"/>
    <w:rsid w:val="00A237F2"/>
    <w:rsid w:val="00A23A3C"/>
    <w:rsid w:val="00A23C8A"/>
    <w:rsid w:val="00A24C10"/>
    <w:rsid w:val="00A24C1E"/>
    <w:rsid w:val="00A24FF3"/>
    <w:rsid w:val="00A251CF"/>
    <w:rsid w:val="00A25971"/>
    <w:rsid w:val="00A25F22"/>
    <w:rsid w:val="00A265A0"/>
    <w:rsid w:val="00A267E3"/>
    <w:rsid w:val="00A269DA"/>
    <w:rsid w:val="00A26D09"/>
    <w:rsid w:val="00A26D6B"/>
    <w:rsid w:val="00A26DE5"/>
    <w:rsid w:val="00A26E69"/>
    <w:rsid w:val="00A27358"/>
    <w:rsid w:val="00A27785"/>
    <w:rsid w:val="00A27A86"/>
    <w:rsid w:val="00A27AF4"/>
    <w:rsid w:val="00A27B5E"/>
    <w:rsid w:val="00A27BFA"/>
    <w:rsid w:val="00A302B1"/>
    <w:rsid w:val="00A30363"/>
    <w:rsid w:val="00A3073A"/>
    <w:rsid w:val="00A3089E"/>
    <w:rsid w:val="00A30919"/>
    <w:rsid w:val="00A30EAA"/>
    <w:rsid w:val="00A3108A"/>
    <w:rsid w:val="00A31CBA"/>
    <w:rsid w:val="00A31FAA"/>
    <w:rsid w:val="00A32220"/>
    <w:rsid w:val="00A325F4"/>
    <w:rsid w:val="00A32727"/>
    <w:rsid w:val="00A32C1E"/>
    <w:rsid w:val="00A32C23"/>
    <w:rsid w:val="00A32EEB"/>
    <w:rsid w:val="00A33280"/>
    <w:rsid w:val="00A33282"/>
    <w:rsid w:val="00A33536"/>
    <w:rsid w:val="00A34327"/>
    <w:rsid w:val="00A359F6"/>
    <w:rsid w:val="00A35FC2"/>
    <w:rsid w:val="00A3634D"/>
    <w:rsid w:val="00A3677A"/>
    <w:rsid w:val="00A3686E"/>
    <w:rsid w:val="00A36DDC"/>
    <w:rsid w:val="00A37174"/>
    <w:rsid w:val="00A3778C"/>
    <w:rsid w:val="00A37C1C"/>
    <w:rsid w:val="00A400E0"/>
    <w:rsid w:val="00A40212"/>
    <w:rsid w:val="00A4031E"/>
    <w:rsid w:val="00A404B9"/>
    <w:rsid w:val="00A404F9"/>
    <w:rsid w:val="00A405F2"/>
    <w:rsid w:val="00A40B97"/>
    <w:rsid w:val="00A40C9A"/>
    <w:rsid w:val="00A40E64"/>
    <w:rsid w:val="00A4146B"/>
    <w:rsid w:val="00A41BE5"/>
    <w:rsid w:val="00A4202A"/>
    <w:rsid w:val="00A4217E"/>
    <w:rsid w:val="00A427FB"/>
    <w:rsid w:val="00A428C5"/>
    <w:rsid w:val="00A42969"/>
    <w:rsid w:val="00A42B4B"/>
    <w:rsid w:val="00A42CC7"/>
    <w:rsid w:val="00A434B9"/>
    <w:rsid w:val="00A4358D"/>
    <w:rsid w:val="00A4383D"/>
    <w:rsid w:val="00A43C68"/>
    <w:rsid w:val="00A44538"/>
    <w:rsid w:val="00A446F5"/>
    <w:rsid w:val="00A447B2"/>
    <w:rsid w:val="00A44949"/>
    <w:rsid w:val="00A44B12"/>
    <w:rsid w:val="00A44B77"/>
    <w:rsid w:val="00A44C07"/>
    <w:rsid w:val="00A44E30"/>
    <w:rsid w:val="00A45498"/>
    <w:rsid w:val="00A45679"/>
    <w:rsid w:val="00A45B26"/>
    <w:rsid w:val="00A45C10"/>
    <w:rsid w:val="00A461D9"/>
    <w:rsid w:val="00A466D9"/>
    <w:rsid w:val="00A4673D"/>
    <w:rsid w:val="00A46952"/>
    <w:rsid w:val="00A46C38"/>
    <w:rsid w:val="00A46C46"/>
    <w:rsid w:val="00A47006"/>
    <w:rsid w:val="00A471AF"/>
    <w:rsid w:val="00A4761D"/>
    <w:rsid w:val="00A50425"/>
    <w:rsid w:val="00A504DF"/>
    <w:rsid w:val="00A50CF1"/>
    <w:rsid w:val="00A512A8"/>
    <w:rsid w:val="00A513A8"/>
    <w:rsid w:val="00A5159E"/>
    <w:rsid w:val="00A5184F"/>
    <w:rsid w:val="00A51DEC"/>
    <w:rsid w:val="00A523B3"/>
    <w:rsid w:val="00A523EF"/>
    <w:rsid w:val="00A52D27"/>
    <w:rsid w:val="00A52EF7"/>
    <w:rsid w:val="00A5373C"/>
    <w:rsid w:val="00A53773"/>
    <w:rsid w:val="00A53BF4"/>
    <w:rsid w:val="00A54303"/>
    <w:rsid w:val="00A544F2"/>
    <w:rsid w:val="00A54789"/>
    <w:rsid w:val="00A54A3C"/>
    <w:rsid w:val="00A54DD0"/>
    <w:rsid w:val="00A54E54"/>
    <w:rsid w:val="00A55057"/>
    <w:rsid w:val="00A556BC"/>
    <w:rsid w:val="00A55715"/>
    <w:rsid w:val="00A560E9"/>
    <w:rsid w:val="00A5611F"/>
    <w:rsid w:val="00A56600"/>
    <w:rsid w:val="00A572C6"/>
    <w:rsid w:val="00A57BE7"/>
    <w:rsid w:val="00A57CAD"/>
    <w:rsid w:val="00A57EE9"/>
    <w:rsid w:val="00A57F98"/>
    <w:rsid w:val="00A57FA6"/>
    <w:rsid w:val="00A6035B"/>
    <w:rsid w:val="00A603E4"/>
    <w:rsid w:val="00A604F4"/>
    <w:rsid w:val="00A605C2"/>
    <w:rsid w:val="00A609B1"/>
    <w:rsid w:val="00A60C69"/>
    <w:rsid w:val="00A60DD9"/>
    <w:rsid w:val="00A620A1"/>
    <w:rsid w:val="00A62172"/>
    <w:rsid w:val="00A62425"/>
    <w:rsid w:val="00A62490"/>
    <w:rsid w:val="00A62544"/>
    <w:rsid w:val="00A62661"/>
    <w:rsid w:val="00A62AD4"/>
    <w:rsid w:val="00A62C3F"/>
    <w:rsid w:val="00A62D06"/>
    <w:rsid w:val="00A62EAE"/>
    <w:rsid w:val="00A62F78"/>
    <w:rsid w:val="00A63076"/>
    <w:rsid w:val="00A6344A"/>
    <w:rsid w:val="00A63A54"/>
    <w:rsid w:val="00A63ECD"/>
    <w:rsid w:val="00A642BA"/>
    <w:rsid w:val="00A642DD"/>
    <w:rsid w:val="00A64B24"/>
    <w:rsid w:val="00A6526D"/>
    <w:rsid w:val="00A65570"/>
    <w:rsid w:val="00A65717"/>
    <w:rsid w:val="00A65A7F"/>
    <w:rsid w:val="00A65DA1"/>
    <w:rsid w:val="00A660C1"/>
    <w:rsid w:val="00A662AB"/>
    <w:rsid w:val="00A66598"/>
    <w:rsid w:val="00A66A81"/>
    <w:rsid w:val="00A66CAB"/>
    <w:rsid w:val="00A66E47"/>
    <w:rsid w:val="00A670A5"/>
    <w:rsid w:val="00A670E5"/>
    <w:rsid w:val="00A6759C"/>
    <w:rsid w:val="00A67614"/>
    <w:rsid w:val="00A67838"/>
    <w:rsid w:val="00A67B98"/>
    <w:rsid w:val="00A67BEB"/>
    <w:rsid w:val="00A70383"/>
    <w:rsid w:val="00A70611"/>
    <w:rsid w:val="00A70821"/>
    <w:rsid w:val="00A70992"/>
    <w:rsid w:val="00A70C60"/>
    <w:rsid w:val="00A71190"/>
    <w:rsid w:val="00A7132C"/>
    <w:rsid w:val="00A71492"/>
    <w:rsid w:val="00A71656"/>
    <w:rsid w:val="00A7169F"/>
    <w:rsid w:val="00A71E64"/>
    <w:rsid w:val="00A722DF"/>
    <w:rsid w:val="00A72A67"/>
    <w:rsid w:val="00A72E94"/>
    <w:rsid w:val="00A731B8"/>
    <w:rsid w:val="00A73636"/>
    <w:rsid w:val="00A73642"/>
    <w:rsid w:val="00A73B24"/>
    <w:rsid w:val="00A73C11"/>
    <w:rsid w:val="00A73CD9"/>
    <w:rsid w:val="00A743B5"/>
    <w:rsid w:val="00A74549"/>
    <w:rsid w:val="00A74B0B"/>
    <w:rsid w:val="00A74BE0"/>
    <w:rsid w:val="00A74D76"/>
    <w:rsid w:val="00A750FD"/>
    <w:rsid w:val="00A7553A"/>
    <w:rsid w:val="00A7558B"/>
    <w:rsid w:val="00A75AB3"/>
    <w:rsid w:val="00A76967"/>
    <w:rsid w:val="00A76B24"/>
    <w:rsid w:val="00A76CB1"/>
    <w:rsid w:val="00A76F10"/>
    <w:rsid w:val="00A774B5"/>
    <w:rsid w:val="00A776DC"/>
    <w:rsid w:val="00A809B7"/>
    <w:rsid w:val="00A81022"/>
    <w:rsid w:val="00A81081"/>
    <w:rsid w:val="00A81406"/>
    <w:rsid w:val="00A8170D"/>
    <w:rsid w:val="00A81CFD"/>
    <w:rsid w:val="00A81F72"/>
    <w:rsid w:val="00A820B6"/>
    <w:rsid w:val="00A821AF"/>
    <w:rsid w:val="00A82936"/>
    <w:rsid w:val="00A82B0B"/>
    <w:rsid w:val="00A82C72"/>
    <w:rsid w:val="00A82CC3"/>
    <w:rsid w:val="00A83236"/>
    <w:rsid w:val="00A83634"/>
    <w:rsid w:val="00A83DE4"/>
    <w:rsid w:val="00A84055"/>
    <w:rsid w:val="00A843B6"/>
    <w:rsid w:val="00A84F54"/>
    <w:rsid w:val="00A856E4"/>
    <w:rsid w:val="00A85E02"/>
    <w:rsid w:val="00A85E0E"/>
    <w:rsid w:val="00A860CB"/>
    <w:rsid w:val="00A8629E"/>
    <w:rsid w:val="00A86361"/>
    <w:rsid w:val="00A864E0"/>
    <w:rsid w:val="00A866C6"/>
    <w:rsid w:val="00A8672B"/>
    <w:rsid w:val="00A86918"/>
    <w:rsid w:val="00A86981"/>
    <w:rsid w:val="00A869D5"/>
    <w:rsid w:val="00A86B51"/>
    <w:rsid w:val="00A8740B"/>
    <w:rsid w:val="00A8782D"/>
    <w:rsid w:val="00A87AB0"/>
    <w:rsid w:val="00A9007E"/>
    <w:rsid w:val="00A9075C"/>
    <w:rsid w:val="00A9127A"/>
    <w:rsid w:val="00A91733"/>
    <w:rsid w:val="00A91A85"/>
    <w:rsid w:val="00A92422"/>
    <w:rsid w:val="00A934ED"/>
    <w:rsid w:val="00A93520"/>
    <w:rsid w:val="00A93724"/>
    <w:rsid w:val="00A93A90"/>
    <w:rsid w:val="00A93AE2"/>
    <w:rsid w:val="00A9409E"/>
    <w:rsid w:val="00A9495A"/>
    <w:rsid w:val="00A956CF"/>
    <w:rsid w:val="00A9627A"/>
    <w:rsid w:val="00A9653E"/>
    <w:rsid w:val="00A9700F"/>
    <w:rsid w:val="00A972D4"/>
    <w:rsid w:val="00A97425"/>
    <w:rsid w:val="00AA0069"/>
    <w:rsid w:val="00AA0196"/>
    <w:rsid w:val="00AA028C"/>
    <w:rsid w:val="00AA02A2"/>
    <w:rsid w:val="00AA038B"/>
    <w:rsid w:val="00AA0D22"/>
    <w:rsid w:val="00AA0FB3"/>
    <w:rsid w:val="00AA1144"/>
    <w:rsid w:val="00AA1209"/>
    <w:rsid w:val="00AA131F"/>
    <w:rsid w:val="00AA1742"/>
    <w:rsid w:val="00AA1BB8"/>
    <w:rsid w:val="00AA1D3A"/>
    <w:rsid w:val="00AA2231"/>
    <w:rsid w:val="00AA2239"/>
    <w:rsid w:val="00AA2295"/>
    <w:rsid w:val="00AA22E7"/>
    <w:rsid w:val="00AA274F"/>
    <w:rsid w:val="00AA277F"/>
    <w:rsid w:val="00AA27A7"/>
    <w:rsid w:val="00AA2AB1"/>
    <w:rsid w:val="00AA2E30"/>
    <w:rsid w:val="00AA2E6C"/>
    <w:rsid w:val="00AA2F24"/>
    <w:rsid w:val="00AA31A0"/>
    <w:rsid w:val="00AA31F6"/>
    <w:rsid w:val="00AA3310"/>
    <w:rsid w:val="00AA3C47"/>
    <w:rsid w:val="00AA3C8C"/>
    <w:rsid w:val="00AA3EB2"/>
    <w:rsid w:val="00AA42F2"/>
    <w:rsid w:val="00AA4441"/>
    <w:rsid w:val="00AA48DA"/>
    <w:rsid w:val="00AA4E78"/>
    <w:rsid w:val="00AA5DF4"/>
    <w:rsid w:val="00AA5F6A"/>
    <w:rsid w:val="00AA5FBA"/>
    <w:rsid w:val="00AA616E"/>
    <w:rsid w:val="00AA6228"/>
    <w:rsid w:val="00AA62DA"/>
    <w:rsid w:val="00AA648D"/>
    <w:rsid w:val="00AA657D"/>
    <w:rsid w:val="00AA66D7"/>
    <w:rsid w:val="00AA68F8"/>
    <w:rsid w:val="00AA698A"/>
    <w:rsid w:val="00AA6A76"/>
    <w:rsid w:val="00AA6B2A"/>
    <w:rsid w:val="00AA6D70"/>
    <w:rsid w:val="00AA73E3"/>
    <w:rsid w:val="00AA76A9"/>
    <w:rsid w:val="00AA7995"/>
    <w:rsid w:val="00AA7F22"/>
    <w:rsid w:val="00AB0131"/>
    <w:rsid w:val="00AB025B"/>
    <w:rsid w:val="00AB0439"/>
    <w:rsid w:val="00AB0B54"/>
    <w:rsid w:val="00AB0E3B"/>
    <w:rsid w:val="00AB18E3"/>
    <w:rsid w:val="00AB1A7C"/>
    <w:rsid w:val="00AB1D33"/>
    <w:rsid w:val="00AB2544"/>
    <w:rsid w:val="00AB263E"/>
    <w:rsid w:val="00AB299E"/>
    <w:rsid w:val="00AB2C09"/>
    <w:rsid w:val="00AB2D09"/>
    <w:rsid w:val="00AB2F25"/>
    <w:rsid w:val="00AB2FA2"/>
    <w:rsid w:val="00AB320B"/>
    <w:rsid w:val="00AB34CB"/>
    <w:rsid w:val="00AB3948"/>
    <w:rsid w:val="00AB3B11"/>
    <w:rsid w:val="00AB440C"/>
    <w:rsid w:val="00AB456E"/>
    <w:rsid w:val="00AB49F9"/>
    <w:rsid w:val="00AB4A06"/>
    <w:rsid w:val="00AB4D91"/>
    <w:rsid w:val="00AB4DB3"/>
    <w:rsid w:val="00AB4F8C"/>
    <w:rsid w:val="00AB4FE2"/>
    <w:rsid w:val="00AB556A"/>
    <w:rsid w:val="00AB55BE"/>
    <w:rsid w:val="00AB5C91"/>
    <w:rsid w:val="00AB611B"/>
    <w:rsid w:val="00AB658F"/>
    <w:rsid w:val="00AB6609"/>
    <w:rsid w:val="00AB6984"/>
    <w:rsid w:val="00AB6ACD"/>
    <w:rsid w:val="00AB6C64"/>
    <w:rsid w:val="00AB6CE9"/>
    <w:rsid w:val="00AB6D1A"/>
    <w:rsid w:val="00AB7142"/>
    <w:rsid w:val="00AB7881"/>
    <w:rsid w:val="00AB7957"/>
    <w:rsid w:val="00AB7B3C"/>
    <w:rsid w:val="00AB7DDC"/>
    <w:rsid w:val="00AB7E01"/>
    <w:rsid w:val="00AC02EE"/>
    <w:rsid w:val="00AC03AC"/>
    <w:rsid w:val="00AC03F5"/>
    <w:rsid w:val="00AC0C40"/>
    <w:rsid w:val="00AC107A"/>
    <w:rsid w:val="00AC1109"/>
    <w:rsid w:val="00AC1A3D"/>
    <w:rsid w:val="00AC2410"/>
    <w:rsid w:val="00AC25BE"/>
    <w:rsid w:val="00AC3647"/>
    <w:rsid w:val="00AC3AC8"/>
    <w:rsid w:val="00AC3AFC"/>
    <w:rsid w:val="00AC3DB4"/>
    <w:rsid w:val="00AC3F71"/>
    <w:rsid w:val="00AC458C"/>
    <w:rsid w:val="00AC45F8"/>
    <w:rsid w:val="00AC49E0"/>
    <w:rsid w:val="00AC4DA0"/>
    <w:rsid w:val="00AC5056"/>
    <w:rsid w:val="00AC50D4"/>
    <w:rsid w:val="00AC5268"/>
    <w:rsid w:val="00AC5B00"/>
    <w:rsid w:val="00AC5CBB"/>
    <w:rsid w:val="00AC641E"/>
    <w:rsid w:val="00AC6962"/>
    <w:rsid w:val="00AC697F"/>
    <w:rsid w:val="00AC6FA6"/>
    <w:rsid w:val="00AC7192"/>
    <w:rsid w:val="00AC71C9"/>
    <w:rsid w:val="00AC7608"/>
    <w:rsid w:val="00AC7AA0"/>
    <w:rsid w:val="00AC7C8F"/>
    <w:rsid w:val="00AC7F7D"/>
    <w:rsid w:val="00AD00E4"/>
    <w:rsid w:val="00AD051A"/>
    <w:rsid w:val="00AD0947"/>
    <w:rsid w:val="00AD0CCD"/>
    <w:rsid w:val="00AD13BC"/>
    <w:rsid w:val="00AD1C8E"/>
    <w:rsid w:val="00AD1DB7"/>
    <w:rsid w:val="00AD229D"/>
    <w:rsid w:val="00AD2433"/>
    <w:rsid w:val="00AD29D0"/>
    <w:rsid w:val="00AD2C3D"/>
    <w:rsid w:val="00AD2E11"/>
    <w:rsid w:val="00AD33DC"/>
    <w:rsid w:val="00AD3B2D"/>
    <w:rsid w:val="00AD432C"/>
    <w:rsid w:val="00AD43AE"/>
    <w:rsid w:val="00AD458B"/>
    <w:rsid w:val="00AD493B"/>
    <w:rsid w:val="00AD4C8D"/>
    <w:rsid w:val="00AD4E9B"/>
    <w:rsid w:val="00AD4ED6"/>
    <w:rsid w:val="00AD51E6"/>
    <w:rsid w:val="00AD5403"/>
    <w:rsid w:val="00AD57E4"/>
    <w:rsid w:val="00AD5A8F"/>
    <w:rsid w:val="00AD5CB4"/>
    <w:rsid w:val="00AD5DF3"/>
    <w:rsid w:val="00AD6A9B"/>
    <w:rsid w:val="00AD6C7F"/>
    <w:rsid w:val="00AD6E92"/>
    <w:rsid w:val="00AD745B"/>
    <w:rsid w:val="00AD770A"/>
    <w:rsid w:val="00AD77A1"/>
    <w:rsid w:val="00AD7A18"/>
    <w:rsid w:val="00AD7B05"/>
    <w:rsid w:val="00AD7D48"/>
    <w:rsid w:val="00AD7E9F"/>
    <w:rsid w:val="00AE0347"/>
    <w:rsid w:val="00AE0FC6"/>
    <w:rsid w:val="00AE1197"/>
    <w:rsid w:val="00AE1420"/>
    <w:rsid w:val="00AE15FA"/>
    <w:rsid w:val="00AE18E8"/>
    <w:rsid w:val="00AE1FF2"/>
    <w:rsid w:val="00AE2201"/>
    <w:rsid w:val="00AE255F"/>
    <w:rsid w:val="00AE2A89"/>
    <w:rsid w:val="00AE2CF1"/>
    <w:rsid w:val="00AE301A"/>
    <w:rsid w:val="00AE3191"/>
    <w:rsid w:val="00AE31A1"/>
    <w:rsid w:val="00AE3B30"/>
    <w:rsid w:val="00AE3BFE"/>
    <w:rsid w:val="00AE4038"/>
    <w:rsid w:val="00AE4199"/>
    <w:rsid w:val="00AE4694"/>
    <w:rsid w:val="00AE4753"/>
    <w:rsid w:val="00AE4DE2"/>
    <w:rsid w:val="00AE4F6D"/>
    <w:rsid w:val="00AE5849"/>
    <w:rsid w:val="00AE59BD"/>
    <w:rsid w:val="00AE5D13"/>
    <w:rsid w:val="00AE5EDC"/>
    <w:rsid w:val="00AE642F"/>
    <w:rsid w:val="00AE6589"/>
    <w:rsid w:val="00AE6A1A"/>
    <w:rsid w:val="00AE6A4F"/>
    <w:rsid w:val="00AE6B1E"/>
    <w:rsid w:val="00AE6B39"/>
    <w:rsid w:val="00AE6BCE"/>
    <w:rsid w:val="00AE722C"/>
    <w:rsid w:val="00AE78B8"/>
    <w:rsid w:val="00AE7AD5"/>
    <w:rsid w:val="00AE7BB6"/>
    <w:rsid w:val="00AE7BF6"/>
    <w:rsid w:val="00AE7DFD"/>
    <w:rsid w:val="00AF00E2"/>
    <w:rsid w:val="00AF05D5"/>
    <w:rsid w:val="00AF06C6"/>
    <w:rsid w:val="00AF0B22"/>
    <w:rsid w:val="00AF0B31"/>
    <w:rsid w:val="00AF0BF2"/>
    <w:rsid w:val="00AF1273"/>
    <w:rsid w:val="00AF15F8"/>
    <w:rsid w:val="00AF17AA"/>
    <w:rsid w:val="00AF1C51"/>
    <w:rsid w:val="00AF1F78"/>
    <w:rsid w:val="00AF250D"/>
    <w:rsid w:val="00AF297C"/>
    <w:rsid w:val="00AF3110"/>
    <w:rsid w:val="00AF34D7"/>
    <w:rsid w:val="00AF3951"/>
    <w:rsid w:val="00AF39D6"/>
    <w:rsid w:val="00AF3FD1"/>
    <w:rsid w:val="00AF3FD7"/>
    <w:rsid w:val="00AF46F9"/>
    <w:rsid w:val="00AF50BF"/>
    <w:rsid w:val="00AF5529"/>
    <w:rsid w:val="00AF5668"/>
    <w:rsid w:val="00AF5875"/>
    <w:rsid w:val="00AF5E6A"/>
    <w:rsid w:val="00AF5F41"/>
    <w:rsid w:val="00AF604C"/>
    <w:rsid w:val="00AF64B8"/>
    <w:rsid w:val="00AF6630"/>
    <w:rsid w:val="00AF66F5"/>
    <w:rsid w:val="00AF672A"/>
    <w:rsid w:val="00AF6871"/>
    <w:rsid w:val="00AF68D9"/>
    <w:rsid w:val="00AF6D0B"/>
    <w:rsid w:val="00AF6DD0"/>
    <w:rsid w:val="00AF6E80"/>
    <w:rsid w:val="00AF708B"/>
    <w:rsid w:val="00AF714E"/>
    <w:rsid w:val="00AF754F"/>
    <w:rsid w:val="00AF7DD5"/>
    <w:rsid w:val="00B0036C"/>
    <w:rsid w:val="00B003E3"/>
    <w:rsid w:val="00B004C4"/>
    <w:rsid w:val="00B00778"/>
    <w:rsid w:val="00B015CA"/>
    <w:rsid w:val="00B018D3"/>
    <w:rsid w:val="00B01A3D"/>
    <w:rsid w:val="00B01B1B"/>
    <w:rsid w:val="00B01B1E"/>
    <w:rsid w:val="00B01CB9"/>
    <w:rsid w:val="00B01CF9"/>
    <w:rsid w:val="00B021DC"/>
    <w:rsid w:val="00B02441"/>
    <w:rsid w:val="00B024A2"/>
    <w:rsid w:val="00B02559"/>
    <w:rsid w:val="00B0258C"/>
    <w:rsid w:val="00B02D09"/>
    <w:rsid w:val="00B03788"/>
    <w:rsid w:val="00B037FD"/>
    <w:rsid w:val="00B03946"/>
    <w:rsid w:val="00B03DDD"/>
    <w:rsid w:val="00B03DEB"/>
    <w:rsid w:val="00B03E4E"/>
    <w:rsid w:val="00B03F32"/>
    <w:rsid w:val="00B03FC1"/>
    <w:rsid w:val="00B03FF9"/>
    <w:rsid w:val="00B04084"/>
    <w:rsid w:val="00B04885"/>
    <w:rsid w:val="00B049BC"/>
    <w:rsid w:val="00B050DF"/>
    <w:rsid w:val="00B0519D"/>
    <w:rsid w:val="00B05EA4"/>
    <w:rsid w:val="00B05F19"/>
    <w:rsid w:val="00B065FA"/>
    <w:rsid w:val="00B06611"/>
    <w:rsid w:val="00B06A21"/>
    <w:rsid w:val="00B06B7D"/>
    <w:rsid w:val="00B06BA6"/>
    <w:rsid w:val="00B0773E"/>
    <w:rsid w:val="00B078DF"/>
    <w:rsid w:val="00B07964"/>
    <w:rsid w:val="00B079D9"/>
    <w:rsid w:val="00B1001E"/>
    <w:rsid w:val="00B10170"/>
    <w:rsid w:val="00B10179"/>
    <w:rsid w:val="00B10533"/>
    <w:rsid w:val="00B1080F"/>
    <w:rsid w:val="00B109FC"/>
    <w:rsid w:val="00B10D36"/>
    <w:rsid w:val="00B110D1"/>
    <w:rsid w:val="00B11366"/>
    <w:rsid w:val="00B11888"/>
    <w:rsid w:val="00B11893"/>
    <w:rsid w:val="00B11BDA"/>
    <w:rsid w:val="00B11C73"/>
    <w:rsid w:val="00B11CB5"/>
    <w:rsid w:val="00B1276E"/>
    <w:rsid w:val="00B1297D"/>
    <w:rsid w:val="00B12CE4"/>
    <w:rsid w:val="00B13242"/>
    <w:rsid w:val="00B138A2"/>
    <w:rsid w:val="00B1461D"/>
    <w:rsid w:val="00B14707"/>
    <w:rsid w:val="00B14C9C"/>
    <w:rsid w:val="00B1559A"/>
    <w:rsid w:val="00B15A01"/>
    <w:rsid w:val="00B164B3"/>
    <w:rsid w:val="00B16F0B"/>
    <w:rsid w:val="00B17C13"/>
    <w:rsid w:val="00B20020"/>
    <w:rsid w:val="00B20278"/>
    <w:rsid w:val="00B20339"/>
    <w:rsid w:val="00B208E6"/>
    <w:rsid w:val="00B20F17"/>
    <w:rsid w:val="00B21014"/>
    <w:rsid w:val="00B21254"/>
    <w:rsid w:val="00B2126D"/>
    <w:rsid w:val="00B214A5"/>
    <w:rsid w:val="00B214E1"/>
    <w:rsid w:val="00B215AC"/>
    <w:rsid w:val="00B215C6"/>
    <w:rsid w:val="00B215F0"/>
    <w:rsid w:val="00B21820"/>
    <w:rsid w:val="00B21924"/>
    <w:rsid w:val="00B2239A"/>
    <w:rsid w:val="00B2243E"/>
    <w:rsid w:val="00B224A3"/>
    <w:rsid w:val="00B2274E"/>
    <w:rsid w:val="00B22A7B"/>
    <w:rsid w:val="00B22BD0"/>
    <w:rsid w:val="00B22C29"/>
    <w:rsid w:val="00B234D2"/>
    <w:rsid w:val="00B23BAA"/>
    <w:rsid w:val="00B23E1F"/>
    <w:rsid w:val="00B247B7"/>
    <w:rsid w:val="00B24B98"/>
    <w:rsid w:val="00B24C73"/>
    <w:rsid w:val="00B25266"/>
    <w:rsid w:val="00B2560E"/>
    <w:rsid w:val="00B258EE"/>
    <w:rsid w:val="00B2661A"/>
    <w:rsid w:val="00B2687D"/>
    <w:rsid w:val="00B26C95"/>
    <w:rsid w:val="00B26D1C"/>
    <w:rsid w:val="00B26E61"/>
    <w:rsid w:val="00B27014"/>
    <w:rsid w:val="00B276CE"/>
    <w:rsid w:val="00B27972"/>
    <w:rsid w:val="00B27D5A"/>
    <w:rsid w:val="00B309BF"/>
    <w:rsid w:val="00B30B29"/>
    <w:rsid w:val="00B30C0C"/>
    <w:rsid w:val="00B317EA"/>
    <w:rsid w:val="00B31D27"/>
    <w:rsid w:val="00B31E88"/>
    <w:rsid w:val="00B32943"/>
    <w:rsid w:val="00B33364"/>
    <w:rsid w:val="00B3381B"/>
    <w:rsid w:val="00B338D6"/>
    <w:rsid w:val="00B33A8A"/>
    <w:rsid w:val="00B33F1D"/>
    <w:rsid w:val="00B33F89"/>
    <w:rsid w:val="00B33FB8"/>
    <w:rsid w:val="00B34342"/>
    <w:rsid w:val="00B344DA"/>
    <w:rsid w:val="00B34AEA"/>
    <w:rsid w:val="00B34B52"/>
    <w:rsid w:val="00B34C89"/>
    <w:rsid w:val="00B3516A"/>
    <w:rsid w:val="00B351CD"/>
    <w:rsid w:val="00B352A9"/>
    <w:rsid w:val="00B35824"/>
    <w:rsid w:val="00B3591A"/>
    <w:rsid w:val="00B360CA"/>
    <w:rsid w:val="00B36401"/>
    <w:rsid w:val="00B368D5"/>
    <w:rsid w:val="00B36AD7"/>
    <w:rsid w:val="00B36B4A"/>
    <w:rsid w:val="00B377A9"/>
    <w:rsid w:val="00B37AB1"/>
    <w:rsid w:val="00B37C9B"/>
    <w:rsid w:val="00B40016"/>
    <w:rsid w:val="00B40BBF"/>
    <w:rsid w:val="00B40E1C"/>
    <w:rsid w:val="00B4105D"/>
    <w:rsid w:val="00B41955"/>
    <w:rsid w:val="00B41A0B"/>
    <w:rsid w:val="00B41CB7"/>
    <w:rsid w:val="00B421D9"/>
    <w:rsid w:val="00B42651"/>
    <w:rsid w:val="00B429F8"/>
    <w:rsid w:val="00B42B88"/>
    <w:rsid w:val="00B42C23"/>
    <w:rsid w:val="00B42F6E"/>
    <w:rsid w:val="00B42F75"/>
    <w:rsid w:val="00B43236"/>
    <w:rsid w:val="00B43805"/>
    <w:rsid w:val="00B44221"/>
    <w:rsid w:val="00B44A70"/>
    <w:rsid w:val="00B450B8"/>
    <w:rsid w:val="00B46639"/>
    <w:rsid w:val="00B467E2"/>
    <w:rsid w:val="00B46CB2"/>
    <w:rsid w:val="00B46E3E"/>
    <w:rsid w:val="00B476E6"/>
    <w:rsid w:val="00B47801"/>
    <w:rsid w:val="00B47A86"/>
    <w:rsid w:val="00B47BEB"/>
    <w:rsid w:val="00B47C80"/>
    <w:rsid w:val="00B50192"/>
    <w:rsid w:val="00B50254"/>
    <w:rsid w:val="00B50531"/>
    <w:rsid w:val="00B5059B"/>
    <w:rsid w:val="00B50646"/>
    <w:rsid w:val="00B50A06"/>
    <w:rsid w:val="00B50C19"/>
    <w:rsid w:val="00B50CA6"/>
    <w:rsid w:val="00B50EB8"/>
    <w:rsid w:val="00B5131C"/>
    <w:rsid w:val="00B51410"/>
    <w:rsid w:val="00B5160E"/>
    <w:rsid w:val="00B51681"/>
    <w:rsid w:val="00B5175B"/>
    <w:rsid w:val="00B51808"/>
    <w:rsid w:val="00B51A44"/>
    <w:rsid w:val="00B51B2B"/>
    <w:rsid w:val="00B52315"/>
    <w:rsid w:val="00B523EB"/>
    <w:rsid w:val="00B530C1"/>
    <w:rsid w:val="00B5377A"/>
    <w:rsid w:val="00B540F1"/>
    <w:rsid w:val="00B542DD"/>
    <w:rsid w:val="00B543C8"/>
    <w:rsid w:val="00B54B33"/>
    <w:rsid w:val="00B54F0A"/>
    <w:rsid w:val="00B5567D"/>
    <w:rsid w:val="00B558C9"/>
    <w:rsid w:val="00B55912"/>
    <w:rsid w:val="00B55CD0"/>
    <w:rsid w:val="00B5621F"/>
    <w:rsid w:val="00B56C08"/>
    <w:rsid w:val="00B56E7D"/>
    <w:rsid w:val="00B56F4D"/>
    <w:rsid w:val="00B5704B"/>
    <w:rsid w:val="00B57109"/>
    <w:rsid w:val="00B5736C"/>
    <w:rsid w:val="00B57A1A"/>
    <w:rsid w:val="00B57ECA"/>
    <w:rsid w:val="00B602BD"/>
    <w:rsid w:val="00B606DC"/>
    <w:rsid w:val="00B6162D"/>
    <w:rsid w:val="00B63068"/>
    <w:rsid w:val="00B6320C"/>
    <w:rsid w:val="00B6398B"/>
    <w:rsid w:val="00B63E25"/>
    <w:rsid w:val="00B64174"/>
    <w:rsid w:val="00B64324"/>
    <w:rsid w:val="00B644BA"/>
    <w:rsid w:val="00B64657"/>
    <w:rsid w:val="00B6469C"/>
    <w:rsid w:val="00B64957"/>
    <w:rsid w:val="00B6496C"/>
    <w:rsid w:val="00B65637"/>
    <w:rsid w:val="00B656FD"/>
    <w:rsid w:val="00B6576B"/>
    <w:rsid w:val="00B660F7"/>
    <w:rsid w:val="00B66FA8"/>
    <w:rsid w:val="00B67ADE"/>
    <w:rsid w:val="00B70148"/>
    <w:rsid w:val="00B7022C"/>
    <w:rsid w:val="00B70650"/>
    <w:rsid w:val="00B70810"/>
    <w:rsid w:val="00B70AB5"/>
    <w:rsid w:val="00B70C41"/>
    <w:rsid w:val="00B70D3E"/>
    <w:rsid w:val="00B711BC"/>
    <w:rsid w:val="00B711C4"/>
    <w:rsid w:val="00B71228"/>
    <w:rsid w:val="00B713B4"/>
    <w:rsid w:val="00B714F9"/>
    <w:rsid w:val="00B718FA"/>
    <w:rsid w:val="00B728E5"/>
    <w:rsid w:val="00B72EBE"/>
    <w:rsid w:val="00B73145"/>
    <w:rsid w:val="00B7346D"/>
    <w:rsid w:val="00B73592"/>
    <w:rsid w:val="00B73683"/>
    <w:rsid w:val="00B73844"/>
    <w:rsid w:val="00B73B83"/>
    <w:rsid w:val="00B73DDA"/>
    <w:rsid w:val="00B73E59"/>
    <w:rsid w:val="00B74309"/>
    <w:rsid w:val="00B748EA"/>
    <w:rsid w:val="00B74CB4"/>
    <w:rsid w:val="00B74FE3"/>
    <w:rsid w:val="00B75027"/>
    <w:rsid w:val="00B75570"/>
    <w:rsid w:val="00B7569B"/>
    <w:rsid w:val="00B756DC"/>
    <w:rsid w:val="00B7595C"/>
    <w:rsid w:val="00B75AC8"/>
    <w:rsid w:val="00B75BC2"/>
    <w:rsid w:val="00B75D26"/>
    <w:rsid w:val="00B76326"/>
    <w:rsid w:val="00B763D5"/>
    <w:rsid w:val="00B76BB7"/>
    <w:rsid w:val="00B77A16"/>
    <w:rsid w:val="00B77A99"/>
    <w:rsid w:val="00B77AB0"/>
    <w:rsid w:val="00B77B67"/>
    <w:rsid w:val="00B77BF7"/>
    <w:rsid w:val="00B80449"/>
    <w:rsid w:val="00B806FD"/>
    <w:rsid w:val="00B807DC"/>
    <w:rsid w:val="00B8088C"/>
    <w:rsid w:val="00B80AA5"/>
    <w:rsid w:val="00B81059"/>
    <w:rsid w:val="00B813CE"/>
    <w:rsid w:val="00B813D6"/>
    <w:rsid w:val="00B8154E"/>
    <w:rsid w:val="00B820B3"/>
    <w:rsid w:val="00B8238B"/>
    <w:rsid w:val="00B826B0"/>
    <w:rsid w:val="00B82931"/>
    <w:rsid w:val="00B82B0C"/>
    <w:rsid w:val="00B82F5A"/>
    <w:rsid w:val="00B8315F"/>
    <w:rsid w:val="00B8361F"/>
    <w:rsid w:val="00B83BBC"/>
    <w:rsid w:val="00B83DF9"/>
    <w:rsid w:val="00B84144"/>
    <w:rsid w:val="00B845EB"/>
    <w:rsid w:val="00B848B7"/>
    <w:rsid w:val="00B84AA0"/>
    <w:rsid w:val="00B84AA2"/>
    <w:rsid w:val="00B84C83"/>
    <w:rsid w:val="00B84D65"/>
    <w:rsid w:val="00B84D7E"/>
    <w:rsid w:val="00B8648A"/>
    <w:rsid w:val="00B864FD"/>
    <w:rsid w:val="00B86667"/>
    <w:rsid w:val="00B868F8"/>
    <w:rsid w:val="00B86FA7"/>
    <w:rsid w:val="00B86FC1"/>
    <w:rsid w:val="00B872F3"/>
    <w:rsid w:val="00B873ED"/>
    <w:rsid w:val="00B87596"/>
    <w:rsid w:val="00B87BB4"/>
    <w:rsid w:val="00B87BCF"/>
    <w:rsid w:val="00B87D7C"/>
    <w:rsid w:val="00B87D87"/>
    <w:rsid w:val="00B9021C"/>
    <w:rsid w:val="00B90230"/>
    <w:rsid w:val="00B9050A"/>
    <w:rsid w:val="00B9068A"/>
    <w:rsid w:val="00B907AA"/>
    <w:rsid w:val="00B90842"/>
    <w:rsid w:val="00B90A6F"/>
    <w:rsid w:val="00B90DD6"/>
    <w:rsid w:val="00B90E37"/>
    <w:rsid w:val="00B912B7"/>
    <w:rsid w:val="00B9138C"/>
    <w:rsid w:val="00B91AE5"/>
    <w:rsid w:val="00B91DDA"/>
    <w:rsid w:val="00B91F36"/>
    <w:rsid w:val="00B92815"/>
    <w:rsid w:val="00B9297F"/>
    <w:rsid w:val="00B92BF4"/>
    <w:rsid w:val="00B92FA3"/>
    <w:rsid w:val="00B933A5"/>
    <w:rsid w:val="00B934E7"/>
    <w:rsid w:val="00B936B9"/>
    <w:rsid w:val="00B93AAD"/>
    <w:rsid w:val="00B93D61"/>
    <w:rsid w:val="00B93DE8"/>
    <w:rsid w:val="00B93FA1"/>
    <w:rsid w:val="00B94178"/>
    <w:rsid w:val="00B94676"/>
    <w:rsid w:val="00B947EE"/>
    <w:rsid w:val="00B955DF"/>
    <w:rsid w:val="00B9592B"/>
    <w:rsid w:val="00B95E07"/>
    <w:rsid w:val="00B95FC9"/>
    <w:rsid w:val="00B96195"/>
    <w:rsid w:val="00B9648F"/>
    <w:rsid w:val="00B96584"/>
    <w:rsid w:val="00B96749"/>
    <w:rsid w:val="00B9678B"/>
    <w:rsid w:val="00B96CE7"/>
    <w:rsid w:val="00B96E7F"/>
    <w:rsid w:val="00B96F43"/>
    <w:rsid w:val="00B97116"/>
    <w:rsid w:val="00B97209"/>
    <w:rsid w:val="00B9745D"/>
    <w:rsid w:val="00B97487"/>
    <w:rsid w:val="00B9777F"/>
    <w:rsid w:val="00B97861"/>
    <w:rsid w:val="00B97B3C"/>
    <w:rsid w:val="00BA0473"/>
    <w:rsid w:val="00BA09AF"/>
    <w:rsid w:val="00BA0B1C"/>
    <w:rsid w:val="00BA0E0A"/>
    <w:rsid w:val="00BA0FD7"/>
    <w:rsid w:val="00BA134E"/>
    <w:rsid w:val="00BA137B"/>
    <w:rsid w:val="00BA158A"/>
    <w:rsid w:val="00BA16B3"/>
    <w:rsid w:val="00BA1AD0"/>
    <w:rsid w:val="00BA1ADF"/>
    <w:rsid w:val="00BA1EC5"/>
    <w:rsid w:val="00BA263F"/>
    <w:rsid w:val="00BA26CE"/>
    <w:rsid w:val="00BA280F"/>
    <w:rsid w:val="00BA2EDB"/>
    <w:rsid w:val="00BA34A2"/>
    <w:rsid w:val="00BA3573"/>
    <w:rsid w:val="00BA366A"/>
    <w:rsid w:val="00BA385C"/>
    <w:rsid w:val="00BA3A87"/>
    <w:rsid w:val="00BA3F48"/>
    <w:rsid w:val="00BA44FC"/>
    <w:rsid w:val="00BA4D00"/>
    <w:rsid w:val="00BA4DD3"/>
    <w:rsid w:val="00BA4F06"/>
    <w:rsid w:val="00BA522D"/>
    <w:rsid w:val="00BA53F7"/>
    <w:rsid w:val="00BA55FE"/>
    <w:rsid w:val="00BA594E"/>
    <w:rsid w:val="00BA5B62"/>
    <w:rsid w:val="00BA5C61"/>
    <w:rsid w:val="00BA68E4"/>
    <w:rsid w:val="00BA6973"/>
    <w:rsid w:val="00BA7427"/>
    <w:rsid w:val="00BA74D0"/>
    <w:rsid w:val="00BA7671"/>
    <w:rsid w:val="00BA77AD"/>
    <w:rsid w:val="00BA781A"/>
    <w:rsid w:val="00BA784B"/>
    <w:rsid w:val="00BA7AB6"/>
    <w:rsid w:val="00BA7EC6"/>
    <w:rsid w:val="00BB09F5"/>
    <w:rsid w:val="00BB0BA5"/>
    <w:rsid w:val="00BB1207"/>
    <w:rsid w:val="00BB1360"/>
    <w:rsid w:val="00BB177A"/>
    <w:rsid w:val="00BB1862"/>
    <w:rsid w:val="00BB18DE"/>
    <w:rsid w:val="00BB1CC5"/>
    <w:rsid w:val="00BB20C3"/>
    <w:rsid w:val="00BB2A32"/>
    <w:rsid w:val="00BB312F"/>
    <w:rsid w:val="00BB393E"/>
    <w:rsid w:val="00BB3D7E"/>
    <w:rsid w:val="00BB4063"/>
    <w:rsid w:val="00BB41D3"/>
    <w:rsid w:val="00BB4378"/>
    <w:rsid w:val="00BB46E4"/>
    <w:rsid w:val="00BB4715"/>
    <w:rsid w:val="00BB4752"/>
    <w:rsid w:val="00BB4A0C"/>
    <w:rsid w:val="00BB4AF3"/>
    <w:rsid w:val="00BB4FB5"/>
    <w:rsid w:val="00BB50AF"/>
    <w:rsid w:val="00BB54E9"/>
    <w:rsid w:val="00BB5AE1"/>
    <w:rsid w:val="00BB5D36"/>
    <w:rsid w:val="00BB5E4D"/>
    <w:rsid w:val="00BB6000"/>
    <w:rsid w:val="00BB6414"/>
    <w:rsid w:val="00BB649F"/>
    <w:rsid w:val="00BB65D1"/>
    <w:rsid w:val="00BB6B05"/>
    <w:rsid w:val="00BB6CAE"/>
    <w:rsid w:val="00BB6F6E"/>
    <w:rsid w:val="00BB70B2"/>
    <w:rsid w:val="00BB715B"/>
    <w:rsid w:val="00BB78C6"/>
    <w:rsid w:val="00BC017F"/>
    <w:rsid w:val="00BC01CC"/>
    <w:rsid w:val="00BC043E"/>
    <w:rsid w:val="00BC0A6F"/>
    <w:rsid w:val="00BC10BB"/>
    <w:rsid w:val="00BC121A"/>
    <w:rsid w:val="00BC129A"/>
    <w:rsid w:val="00BC14BE"/>
    <w:rsid w:val="00BC15E4"/>
    <w:rsid w:val="00BC1A97"/>
    <w:rsid w:val="00BC2F54"/>
    <w:rsid w:val="00BC322F"/>
    <w:rsid w:val="00BC3304"/>
    <w:rsid w:val="00BC34D1"/>
    <w:rsid w:val="00BC3A38"/>
    <w:rsid w:val="00BC3C93"/>
    <w:rsid w:val="00BC3F38"/>
    <w:rsid w:val="00BC3F73"/>
    <w:rsid w:val="00BC420F"/>
    <w:rsid w:val="00BC4218"/>
    <w:rsid w:val="00BC43BB"/>
    <w:rsid w:val="00BC447C"/>
    <w:rsid w:val="00BC4868"/>
    <w:rsid w:val="00BC4915"/>
    <w:rsid w:val="00BC540B"/>
    <w:rsid w:val="00BC5563"/>
    <w:rsid w:val="00BC5B47"/>
    <w:rsid w:val="00BC5E54"/>
    <w:rsid w:val="00BC6478"/>
    <w:rsid w:val="00BC6631"/>
    <w:rsid w:val="00BC6647"/>
    <w:rsid w:val="00BC6A77"/>
    <w:rsid w:val="00BC6C23"/>
    <w:rsid w:val="00BC6F7D"/>
    <w:rsid w:val="00BC734D"/>
    <w:rsid w:val="00BC7A27"/>
    <w:rsid w:val="00BC7C84"/>
    <w:rsid w:val="00BD0349"/>
    <w:rsid w:val="00BD0A0E"/>
    <w:rsid w:val="00BD0BC7"/>
    <w:rsid w:val="00BD101F"/>
    <w:rsid w:val="00BD1798"/>
    <w:rsid w:val="00BD17F8"/>
    <w:rsid w:val="00BD188C"/>
    <w:rsid w:val="00BD1A7D"/>
    <w:rsid w:val="00BD1FC3"/>
    <w:rsid w:val="00BD200D"/>
    <w:rsid w:val="00BD2648"/>
    <w:rsid w:val="00BD2972"/>
    <w:rsid w:val="00BD3553"/>
    <w:rsid w:val="00BD3783"/>
    <w:rsid w:val="00BD3867"/>
    <w:rsid w:val="00BD3ED0"/>
    <w:rsid w:val="00BD40DC"/>
    <w:rsid w:val="00BD44EC"/>
    <w:rsid w:val="00BD4714"/>
    <w:rsid w:val="00BD521D"/>
    <w:rsid w:val="00BD5C05"/>
    <w:rsid w:val="00BD63D3"/>
    <w:rsid w:val="00BD65C9"/>
    <w:rsid w:val="00BD6765"/>
    <w:rsid w:val="00BD6A61"/>
    <w:rsid w:val="00BD6B0B"/>
    <w:rsid w:val="00BD70D6"/>
    <w:rsid w:val="00BD7330"/>
    <w:rsid w:val="00BD7FBB"/>
    <w:rsid w:val="00BE037D"/>
    <w:rsid w:val="00BE04E4"/>
    <w:rsid w:val="00BE04F8"/>
    <w:rsid w:val="00BE0A58"/>
    <w:rsid w:val="00BE0ACA"/>
    <w:rsid w:val="00BE0DF4"/>
    <w:rsid w:val="00BE117E"/>
    <w:rsid w:val="00BE1543"/>
    <w:rsid w:val="00BE1DA9"/>
    <w:rsid w:val="00BE215A"/>
    <w:rsid w:val="00BE218A"/>
    <w:rsid w:val="00BE2378"/>
    <w:rsid w:val="00BE2699"/>
    <w:rsid w:val="00BE26AD"/>
    <w:rsid w:val="00BE2991"/>
    <w:rsid w:val="00BE325E"/>
    <w:rsid w:val="00BE3370"/>
    <w:rsid w:val="00BE3386"/>
    <w:rsid w:val="00BE383D"/>
    <w:rsid w:val="00BE3C56"/>
    <w:rsid w:val="00BE3FC0"/>
    <w:rsid w:val="00BE4865"/>
    <w:rsid w:val="00BE5025"/>
    <w:rsid w:val="00BE518F"/>
    <w:rsid w:val="00BE56D6"/>
    <w:rsid w:val="00BE57D9"/>
    <w:rsid w:val="00BE57DA"/>
    <w:rsid w:val="00BE5875"/>
    <w:rsid w:val="00BE5A6F"/>
    <w:rsid w:val="00BE5E4A"/>
    <w:rsid w:val="00BE6629"/>
    <w:rsid w:val="00BE679C"/>
    <w:rsid w:val="00BE6DC3"/>
    <w:rsid w:val="00BE77B2"/>
    <w:rsid w:val="00BE77E2"/>
    <w:rsid w:val="00BE78EC"/>
    <w:rsid w:val="00BF02ED"/>
    <w:rsid w:val="00BF04D8"/>
    <w:rsid w:val="00BF04F5"/>
    <w:rsid w:val="00BF0827"/>
    <w:rsid w:val="00BF0D61"/>
    <w:rsid w:val="00BF11FE"/>
    <w:rsid w:val="00BF184F"/>
    <w:rsid w:val="00BF18AE"/>
    <w:rsid w:val="00BF1BC9"/>
    <w:rsid w:val="00BF20F0"/>
    <w:rsid w:val="00BF2590"/>
    <w:rsid w:val="00BF2674"/>
    <w:rsid w:val="00BF277C"/>
    <w:rsid w:val="00BF2B2E"/>
    <w:rsid w:val="00BF2BC7"/>
    <w:rsid w:val="00BF2E36"/>
    <w:rsid w:val="00BF2F37"/>
    <w:rsid w:val="00BF32B3"/>
    <w:rsid w:val="00BF335F"/>
    <w:rsid w:val="00BF3B06"/>
    <w:rsid w:val="00BF4247"/>
    <w:rsid w:val="00BF4AAF"/>
    <w:rsid w:val="00BF4C40"/>
    <w:rsid w:val="00BF4D4A"/>
    <w:rsid w:val="00BF5052"/>
    <w:rsid w:val="00BF5070"/>
    <w:rsid w:val="00BF597D"/>
    <w:rsid w:val="00BF59A2"/>
    <w:rsid w:val="00BF5C43"/>
    <w:rsid w:val="00BF6339"/>
    <w:rsid w:val="00BF6367"/>
    <w:rsid w:val="00BF6610"/>
    <w:rsid w:val="00BF6977"/>
    <w:rsid w:val="00BF69DE"/>
    <w:rsid w:val="00BF6BA9"/>
    <w:rsid w:val="00BF6D47"/>
    <w:rsid w:val="00BF6E7B"/>
    <w:rsid w:val="00BF6EB3"/>
    <w:rsid w:val="00BF75DE"/>
    <w:rsid w:val="00BF787A"/>
    <w:rsid w:val="00BF7C0B"/>
    <w:rsid w:val="00BF7CC7"/>
    <w:rsid w:val="00C006B8"/>
    <w:rsid w:val="00C00B8D"/>
    <w:rsid w:val="00C00DF7"/>
    <w:rsid w:val="00C00FED"/>
    <w:rsid w:val="00C0106B"/>
    <w:rsid w:val="00C0144A"/>
    <w:rsid w:val="00C015DE"/>
    <w:rsid w:val="00C01993"/>
    <w:rsid w:val="00C01B07"/>
    <w:rsid w:val="00C01BC1"/>
    <w:rsid w:val="00C0289E"/>
    <w:rsid w:val="00C02D52"/>
    <w:rsid w:val="00C033CA"/>
    <w:rsid w:val="00C0365E"/>
    <w:rsid w:val="00C03859"/>
    <w:rsid w:val="00C03A74"/>
    <w:rsid w:val="00C03F4E"/>
    <w:rsid w:val="00C04D1E"/>
    <w:rsid w:val="00C05232"/>
    <w:rsid w:val="00C053E8"/>
    <w:rsid w:val="00C05A7F"/>
    <w:rsid w:val="00C061E0"/>
    <w:rsid w:val="00C06778"/>
    <w:rsid w:val="00C06935"/>
    <w:rsid w:val="00C06BEE"/>
    <w:rsid w:val="00C0768A"/>
    <w:rsid w:val="00C0768B"/>
    <w:rsid w:val="00C07691"/>
    <w:rsid w:val="00C07A2F"/>
    <w:rsid w:val="00C07ACC"/>
    <w:rsid w:val="00C10079"/>
    <w:rsid w:val="00C101ED"/>
    <w:rsid w:val="00C10460"/>
    <w:rsid w:val="00C10596"/>
    <w:rsid w:val="00C106BC"/>
    <w:rsid w:val="00C10846"/>
    <w:rsid w:val="00C1089F"/>
    <w:rsid w:val="00C108F5"/>
    <w:rsid w:val="00C10A3C"/>
    <w:rsid w:val="00C1172A"/>
    <w:rsid w:val="00C118BC"/>
    <w:rsid w:val="00C11930"/>
    <w:rsid w:val="00C11A7F"/>
    <w:rsid w:val="00C11EF0"/>
    <w:rsid w:val="00C12B18"/>
    <w:rsid w:val="00C130D9"/>
    <w:rsid w:val="00C135A2"/>
    <w:rsid w:val="00C13755"/>
    <w:rsid w:val="00C13939"/>
    <w:rsid w:val="00C13966"/>
    <w:rsid w:val="00C140AE"/>
    <w:rsid w:val="00C145A0"/>
    <w:rsid w:val="00C14AE5"/>
    <w:rsid w:val="00C14DDF"/>
    <w:rsid w:val="00C14FAC"/>
    <w:rsid w:val="00C1514A"/>
    <w:rsid w:val="00C1522F"/>
    <w:rsid w:val="00C1528E"/>
    <w:rsid w:val="00C1543C"/>
    <w:rsid w:val="00C156BD"/>
    <w:rsid w:val="00C15702"/>
    <w:rsid w:val="00C15B20"/>
    <w:rsid w:val="00C1621E"/>
    <w:rsid w:val="00C162F9"/>
    <w:rsid w:val="00C163EE"/>
    <w:rsid w:val="00C1652F"/>
    <w:rsid w:val="00C1678F"/>
    <w:rsid w:val="00C167D0"/>
    <w:rsid w:val="00C16A15"/>
    <w:rsid w:val="00C16A2C"/>
    <w:rsid w:val="00C16A56"/>
    <w:rsid w:val="00C16AC1"/>
    <w:rsid w:val="00C16F7C"/>
    <w:rsid w:val="00C171D5"/>
    <w:rsid w:val="00C1721C"/>
    <w:rsid w:val="00C17286"/>
    <w:rsid w:val="00C172E8"/>
    <w:rsid w:val="00C1747D"/>
    <w:rsid w:val="00C178B0"/>
    <w:rsid w:val="00C17A8D"/>
    <w:rsid w:val="00C17E30"/>
    <w:rsid w:val="00C17FAB"/>
    <w:rsid w:val="00C207F4"/>
    <w:rsid w:val="00C2093A"/>
    <w:rsid w:val="00C21024"/>
    <w:rsid w:val="00C211E6"/>
    <w:rsid w:val="00C21310"/>
    <w:rsid w:val="00C21836"/>
    <w:rsid w:val="00C22507"/>
    <w:rsid w:val="00C22535"/>
    <w:rsid w:val="00C227F3"/>
    <w:rsid w:val="00C22EFF"/>
    <w:rsid w:val="00C2390A"/>
    <w:rsid w:val="00C239AC"/>
    <w:rsid w:val="00C23BCB"/>
    <w:rsid w:val="00C23C4C"/>
    <w:rsid w:val="00C23C50"/>
    <w:rsid w:val="00C24050"/>
    <w:rsid w:val="00C240C4"/>
    <w:rsid w:val="00C243F8"/>
    <w:rsid w:val="00C2449D"/>
    <w:rsid w:val="00C24654"/>
    <w:rsid w:val="00C246CA"/>
    <w:rsid w:val="00C25107"/>
    <w:rsid w:val="00C2525B"/>
    <w:rsid w:val="00C25375"/>
    <w:rsid w:val="00C25382"/>
    <w:rsid w:val="00C2582D"/>
    <w:rsid w:val="00C26587"/>
    <w:rsid w:val="00C265B8"/>
    <w:rsid w:val="00C26694"/>
    <w:rsid w:val="00C26C5E"/>
    <w:rsid w:val="00C27083"/>
    <w:rsid w:val="00C275C8"/>
    <w:rsid w:val="00C27CB5"/>
    <w:rsid w:val="00C27CE8"/>
    <w:rsid w:val="00C27EED"/>
    <w:rsid w:val="00C300EF"/>
    <w:rsid w:val="00C304BA"/>
    <w:rsid w:val="00C30579"/>
    <w:rsid w:val="00C30B2F"/>
    <w:rsid w:val="00C30D73"/>
    <w:rsid w:val="00C30DFA"/>
    <w:rsid w:val="00C3130A"/>
    <w:rsid w:val="00C31503"/>
    <w:rsid w:val="00C3170A"/>
    <w:rsid w:val="00C31E4A"/>
    <w:rsid w:val="00C31E68"/>
    <w:rsid w:val="00C321AE"/>
    <w:rsid w:val="00C3278A"/>
    <w:rsid w:val="00C32828"/>
    <w:rsid w:val="00C32C70"/>
    <w:rsid w:val="00C32D3C"/>
    <w:rsid w:val="00C32D54"/>
    <w:rsid w:val="00C32F63"/>
    <w:rsid w:val="00C331FE"/>
    <w:rsid w:val="00C33477"/>
    <w:rsid w:val="00C3351A"/>
    <w:rsid w:val="00C339C2"/>
    <w:rsid w:val="00C33DA3"/>
    <w:rsid w:val="00C33F24"/>
    <w:rsid w:val="00C343ED"/>
    <w:rsid w:val="00C3450B"/>
    <w:rsid w:val="00C34DDD"/>
    <w:rsid w:val="00C3516C"/>
    <w:rsid w:val="00C35247"/>
    <w:rsid w:val="00C35463"/>
    <w:rsid w:val="00C354B8"/>
    <w:rsid w:val="00C358D5"/>
    <w:rsid w:val="00C35D35"/>
    <w:rsid w:val="00C35E91"/>
    <w:rsid w:val="00C3655C"/>
    <w:rsid w:val="00C366AF"/>
    <w:rsid w:val="00C36895"/>
    <w:rsid w:val="00C370D2"/>
    <w:rsid w:val="00C37667"/>
    <w:rsid w:val="00C37743"/>
    <w:rsid w:val="00C37B10"/>
    <w:rsid w:val="00C37F10"/>
    <w:rsid w:val="00C402A4"/>
    <w:rsid w:val="00C40B3F"/>
    <w:rsid w:val="00C416DB"/>
    <w:rsid w:val="00C416DD"/>
    <w:rsid w:val="00C41AF3"/>
    <w:rsid w:val="00C41E11"/>
    <w:rsid w:val="00C42AAE"/>
    <w:rsid w:val="00C42D00"/>
    <w:rsid w:val="00C42D38"/>
    <w:rsid w:val="00C42FB6"/>
    <w:rsid w:val="00C432F2"/>
    <w:rsid w:val="00C43CC7"/>
    <w:rsid w:val="00C43DA2"/>
    <w:rsid w:val="00C445AC"/>
    <w:rsid w:val="00C44B36"/>
    <w:rsid w:val="00C44C0B"/>
    <w:rsid w:val="00C44C59"/>
    <w:rsid w:val="00C44E49"/>
    <w:rsid w:val="00C44EDD"/>
    <w:rsid w:val="00C4532A"/>
    <w:rsid w:val="00C45343"/>
    <w:rsid w:val="00C45773"/>
    <w:rsid w:val="00C457C1"/>
    <w:rsid w:val="00C45E84"/>
    <w:rsid w:val="00C45EB0"/>
    <w:rsid w:val="00C462F7"/>
    <w:rsid w:val="00C46312"/>
    <w:rsid w:val="00C4642D"/>
    <w:rsid w:val="00C46495"/>
    <w:rsid w:val="00C46C32"/>
    <w:rsid w:val="00C46CC9"/>
    <w:rsid w:val="00C46F32"/>
    <w:rsid w:val="00C46F56"/>
    <w:rsid w:val="00C4711C"/>
    <w:rsid w:val="00C471FB"/>
    <w:rsid w:val="00C47696"/>
    <w:rsid w:val="00C47A33"/>
    <w:rsid w:val="00C47F08"/>
    <w:rsid w:val="00C5002F"/>
    <w:rsid w:val="00C5021D"/>
    <w:rsid w:val="00C5056F"/>
    <w:rsid w:val="00C5057F"/>
    <w:rsid w:val="00C50624"/>
    <w:rsid w:val="00C51083"/>
    <w:rsid w:val="00C51087"/>
    <w:rsid w:val="00C510AC"/>
    <w:rsid w:val="00C516DF"/>
    <w:rsid w:val="00C518FE"/>
    <w:rsid w:val="00C51B59"/>
    <w:rsid w:val="00C51B96"/>
    <w:rsid w:val="00C51D4B"/>
    <w:rsid w:val="00C521EA"/>
    <w:rsid w:val="00C52244"/>
    <w:rsid w:val="00C5299D"/>
    <w:rsid w:val="00C52D16"/>
    <w:rsid w:val="00C53164"/>
    <w:rsid w:val="00C53892"/>
    <w:rsid w:val="00C538C0"/>
    <w:rsid w:val="00C53CDC"/>
    <w:rsid w:val="00C53E53"/>
    <w:rsid w:val="00C53E73"/>
    <w:rsid w:val="00C54D82"/>
    <w:rsid w:val="00C5546F"/>
    <w:rsid w:val="00C55D94"/>
    <w:rsid w:val="00C55E95"/>
    <w:rsid w:val="00C55EF6"/>
    <w:rsid w:val="00C560EC"/>
    <w:rsid w:val="00C563A8"/>
    <w:rsid w:val="00C563AB"/>
    <w:rsid w:val="00C56A6E"/>
    <w:rsid w:val="00C56B1E"/>
    <w:rsid w:val="00C56E29"/>
    <w:rsid w:val="00C5765A"/>
    <w:rsid w:val="00C5784A"/>
    <w:rsid w:val="00C578C5"/>
    <w:rsid w:val="00C57D73"/>
    <w:rsid w:val="00C6023F"/>
    <w:rsid w:val="00C6066E"/>
    <w:rsid w:val="00C60D1C"/>
    <w:rsid w:val="00C61021"/>
    <w:rsid w:val="00C61165"/>
    <w:rsid w:val="00C61711"/>
    <w:rsid w:val="00C61A77"/>
    <w:rsid w:val="00C61B7B"/>
    <w:rsid w:val="00C61F50"/>
    <w:rsid w:val="00C6225B"/>
    <w:rsid w:val="00C622C0"/>
    <w:rsid w:val="00C62522"/>
    <w:rsid w:val="00C62613"/>
    <w:rsid w:val="00C62B9E"/>
    <w:rsid w:val="00C62C5D"/>
    <w:rsid w:val="00C62F46"/>
    <w:rsid w:val="00C62F6F"/>
    <w:rsid w:val="00C63631"/>
    <w:rsid w:val="00C639BF"/>
    <w:rsid w:val="00C63C32"/>
    <w:rsid w:val="00C63F20"/>
    <w:rsid w:val="00C63FB6"/>
    <w:rsid w:val="00C645C6"/>
    <w:rsid w:val="00C6479B"/>
    <w:rsid w:val="00C64AB0"/>
    <w:rsid w:val="00C64E94"/>
    <w:rsid w:val="00C64F06"/>
    <w:rsid w:val="00C653F7"/>
    <w:rsid w:val="00C65448"/>
    <w:rsid w:val="00C65771"/>
    <w:rsid w:val="00C65AF2"/>
    <w:rsid w:val="00C65C5A"/>
    <w:rsid w:val="00C65F7F"/>
    <w:rsid w:val="00C66016"/>
    <w:rsid w:val="00C6650B"/>
    <w:rsid w:val="00C6655A"/>
    <w:rsid w:val="00C66895"/>
    <w:rsid w:val="00C66FA0"/>
    <w:rsid w:val="00C67770"/>
    <w:rsid w:val="00C67DCF"/>
    <w:rsid w:val="00C70197"/>
    <w:rsid w:val="00C706B5"/>
    <w:rsid w:val="00C70E46"/>
    <w:rsid w:val="00C70E82"/>
    <w:rsid w:val="00C70F56"/>
    <w:rsid w:val="00C70FA3"/>
    <w:rsid w:val="00C712D5"/>
    <w:rsid w:val="00C7140E"/>
    <w:rsid w:val="00C71753"/>
    <w:rsid w:val="00C71FCA"/>
    <w:rsid w:val="00C721E9"/>
    <w:rsid w:val="00C72590"/>
    <w:rsid w:val="00C725A3"/>
    <w:rsid w:val="00C7280F"/>
    <w:rsid w:val="00C7315F"/>
    <w:rsid w:val="00C73594"/>
    <w:rsid w:val="00C739FA"/>
    <w:rsid w:val="00C73CBE"/>
    <w:rsid w:val="00C741BE"/>
    <w:rsid w:val="00C74A03"/>
    <w:rsid w:val="00C74A75"/>
    <w:rsid w:val="00C74C38"/>
    <w:rsid w:val="00C74F5F"/>
    <w:rsid w:val="00C75304"/>
    <w:rsid w:val="00C75391"/>
    <w:rsid w:val="00C7572B"/>
    <w:rsid w:val="00C75CB4"/>
    <w:rsid w:val="00C75D65"/>
    <w:rsid w:val="00C7632E"/>
    <w:rsid w:val="00C7659C"/>
    <w:rsid w:val="00C76607"/>
    <w:rsid w:val="00C76A8A"/>
    <w:rsid w:val="00C76BBA"/>
    <w:rsid w:val="00C76DAE"/>
    <w:rsid w:val="00C77063"/>
    <w:rsid w:val="00C77109"/>
    <w:rsid w:val="00C77257"/>
    <w:rsid w:val="00C7725D"/>
    <w:rsid w:val="00C774A6"/>
    <w:rsid w:val="00C77533"/>
    <w:rsid w:val="00C77889"/>
    <w:rsid w:val="00C80134"/>
    <w:rsid w:val="00C8014B"/>
    <w:rsid w:val="00C801C4"/>
    <w:rsid w:val="00C80415"/>
    <w:rsid w:val="00C8042C"/>
    <w:rsid w:val="00C80BAB"/>
    <w:rsid w:val="00C80C11"/>
    <w:rsid w:val="00C81261"/>
    <w:rsid w:val="00C8130D"/>
    <w:rsid w:val="00C81373"/>
    <w:rsid w:val="00C81437"/>
    <w:rsid w:val="00C81923"/>
    <w:rsid w:val="00C8223F"/>
    <w:rsid w:val="00C82DA0"/>
    <w:rsid w:val="00C837E2"/>
    <w:rsid w:val="00C83AB1"/>
    <w:rsid w:val="00C83D4F"/>
    <w:rsid w:val="00C8415F"/>
    <w:rsid w:val="00C84AAA"/>
    <w:rsid w:val="00C84E7E"/>
    <w:rsid w:val="00C850D7"/>
    <w:rsid w:val="00C85699"/>
    <w:rsid w:val="00C858D2"/>
    <w:rsid w:val="00C85A6C"/>
    <w:rsid w:val="00C85E0A"/>
    <w:rsid w:val="00C85E14"/>
    <w:rsid w:val="00C85E9B"/>
    <w:rsid w:val="00C8606D"/>
    <w:rsid w:val="00C86BD0"/>
    <w:rsid w:val="00C875AA"/>
    <w:rsid w:val="00C87851"/>
    <w:rsid w:val="00C87A3A"/>
    <w:rsid w:val="00C87AA0"/>
    <w:rsid w:val="00C87E46"/>
    <w:rsid w:val="00C903FE"/>
    <w:rsid w:val="00C905AB"/>
    <w:rsid w:val="00C915A3"/>
    <w:rsid w:val="00C917E4"/>
    <w:rsid w:val="00C919E8"/>
    <w:rsid w:val="00C91D99"/>
    <w:rsid w:val="00C92128"/>
    <w:rsid w:val="00C921A3"/>
    <w:rsid w:val="00C921D0"/>
    <w:rsid w:val="00C92E7B"/>
    <w:rsid w:val="00C93081"/>
    <w:rsid w:val="00C93903"/>
    <w:rsid w:val="00C93E74"/>
    <w:rsid w:val="00C94546"/>
    <w:rsid w:val="00C945A8"/>
    <w:rsid w:val="00C94E99"/>
    <w:rsid w:val="00C951B6"/>
    <w:rsid w:val="00C95993"/>
    <w:rsid w:val="00C95D99"/>
    <w:rsid w:val="00C96130"/>
    <w:rsid w:val="00C96342"/>
    <w:rsid w:val="00C96A4F"/>
    <w:rsid w:val="00C9740F"/>
    <w:rsid w:val="00C97760"/>
    <w:rsid w:val="00C9798E"/>
    <w:rsid w:val="00C97A6E"/>
    <w:rsid w:val="00C97C87"/>
    <w:rsid w:val="00C97CBB"/>
    <w:rsid w:val="00CA01DC"/>
    <w:rsid w:val="00CA03D6"/>
    <w:rsid w:val="00CA0898"/>
    <w:rsid w:val="00CA0C43"/>
    <w:rsid w:val="00CA0D57"/>
    <w:rsid w:val="00CA1308"/>
    <w:rsid w:val="00CA1D36"/>
    <w:rsid w:val="00CA224D"/>
    <w:rsid w:val="00CA2305"/>
    <w:rsid w:val="00CA2573"/>
    <w:rsid w:val="00CA283B"/>
    <w:rsid w:val="00CA2AE9"/>
    <w:rsid w:val="00CA2DBA"/>
    <w:rsid w:val="00CA2F9F"/>
    <w:rsid w:val="00CA334B"/>
    <w:rsid w:val="00CA33A6"/>
    <w:rsid w:val="00CA3D1D"/>
    <w:rsid w:val="00CA3DA9"/>
    <w:rsid w:val="00CA4058"/>
    <w:rsid w:val="00CA4373"/>
    <w:rsid w:val="00CA4655"/>
    <w:rsid w:val="00CA479D"/>
    <w:rsid w:val="00CA4BEB"/>
    <w:rsid w:val="00CA548F"/>
    <w:rsid w:val="00CA5854"/>
    <w:rsid w:val="00CA64F4"/>
    <w:rsid w:val="00CA6840"/>
    <w:rsid w:val="00CA6E41"/>
    <w:rsid w:val="00CA6F12"/>
    <w:rsid w:val="00CA7115"/>
    <w:rsid w:val="00CA7151"/>
    <w:rsid w:val="00CA747C"/>
    <w:rsid w:val="00CA7810"/>
    <w:rsid w:val="00CB0389"/>
    <w:rsid w:val="00CB0782"/>
    <w:rsid w:val="00CB0A9C"/>
    <w:rsid w:val="00CB0B3A"/>
    <w:rsid w:val="00CB0EA9"/>
    <w:rsid w:val="00CB1017"/>
    <w:rsid w:val="00CB11D4"/>
    <w:rsid w:val="00CB19AC"/>
    <w:rsid w:val="00CB2139"/>
    <w:rsid w:val="00CB217C"/>
    <w:rsid w:val="00CB2383"/>
    <w:rsid w:val="00CB2636"/>
    <w:rsid w:val="00CB26F0"/>
    <w:rsid w:val="00CB3241"/>
    <w:rsid w:val="00CB3562"/>
    <w:rsid w:val="00CB3790"/>
    <w:rsid w:val="00CB382B"/>
    <w:rsid w:val="00CB3953"/>
    <w:rsid w:val="00CB3CB3"/>
    <w:rsid w:val="00CB3E88"/>
    <w:rsid w:val="00CB3F6C"/>
    <w:rsid w:val="00CB4619"/>
    <w:rsid w:val="00CB4965"/>
    <w:rsid w:val="00CB4BFB"/>
    <w:rsid w:val="00CB52E7"/>
    <w:rsid w:val="00CB5A45"/>
    <w:rsid w:val="00CB6024"/>
    <w:rsid w:val="00CB6905"/>
    <w:rsid w:val="00CB6F99"/>
    <w:rsid w:val="00CB72F2"/>
    <w:rsid w:val="00CB7980"/>
    <w:rsid w:val="00CB7B59"/>
    <w:rsid w:val="00CB7BB3"/>
    <w:rsid w:val="00CC0071"/>
    <w:rsid w:val="00CC0507"/>
    <w:rsid w:val="00CC0662"/>
    <w:rsid w:val="00CC0852"/>
    <w:rsid w:val="00CC092F"/>
    <w:rsid w:val="00CC0E40"/>
    <w:rsid w:val="00CC0F18"/>
    <w:rsid w:val="00CC1061"/>
    <w:rsid w:val="00CC149C"/>
    <w:rsid w:val="00CC1806"/>
    <w:rsid w:val="00CC2007"/>
    <w:rsid w:val="00CC2248"/>
    <w:rsid w:val="00CC30DC"/>
    <w:rsid w:val="00CC3142"/>
    <w:rsid w:val="00CC3921"/>
    <w:rsid w:val="00CC39F6"/>
    <w:rsid w:val="00CC3D0C"/>
    <w:rsid w:val="00CC3E14"/>
    <w:rsid w:val="00CC41C6"/>
    <w:rsid w:val="00CC45F5"/>
    <w:rsid w:val="00CC47E4"/>
    <w:rsid w:val="00CC4AEA"/>
    <w:rsid w:val="00CC529D"/>
    <w:rsid w:val="00CC53F4"/>
    <w:rsid w:val="00CC5419"/>
    <w:rsid w:val="00CC5556"/>
    <w:rsid w:val="00CC5615"/>
    <w:rsid w:val="00CC58FC"/>
    <w:rsid w:val="00CC59A7"/>
    <w:rsid w:val="00CC5BD0"/>
    <w:rsid w:val="00CC5C03"/>
    <w:rsid w:val="00CC5D35"/>
    <w:rsid w:val="00CC6021"/>
    <w:rsid w:val="00CC6501"/>
    <w:rsid w:val="00CC67CE"/>
    <w:rsid w:val="00CC69AF"/>
    <w:rsid w:val="00CC6B26"/>
    <w:rsid w:val="00CC6F09"/>
    <w:rsid w:val="00CC7030"/>
    <w:rsid w:val="00CC72F5"/>
    <w:rsid w:val="00CC74B3"/>
    <w:rsid w:val="00CC781E"/>
    <w:rsid w:val="00CC7898"/>
    <w:rsid w:val="00CC7990"/>
    <w:rsid w:val="00CC7A1F"/>
    <w:rsid w:val="00CD0524"/>
    <w:rsid w:val="00CD0886"/>
    <w:rsid w:val="00CD0945"/>
    <w:rsid w:val="00CD0CD1"/>
    <w:rsid w:val="00CD0E5F"/>
    <w:rsid w:val="00CD0FD9"/>
    <w:rsid w:val="00CD1C64"/>
    <w:rsid w:val="00CD1C95"/>
    <w:rsid w:val="00CD1FB0"/>
    <w:rsid w:val="00CD2509"/>
    <w:rsid w:val="00CD2643"/>
    <w:rsid w:val="00CD2656"/>
    <w:rsid w:val="00CD2D5A"/>
    <w:rsid w:val="00CD2EFE"/>
    <w:rsid w:val="00CD31F0"/>
    <w:rsid w:val="00CD34D4"/>
    <w:rsid w:val="00CD36D9"/>
    <w:rsid w:val="00CD36F7"/>
    <w:rsid w:val="00CD3B61"/>
    <w:rsid w:val="00CD3BF7"/>
    <w:rsid w:val="00CD3EDF"/>
    <w:rsid w:val="00CD3EE9"/>
    <w:rsid w:val="00CD3F26"/>
    <w:rsid w:val="00CD406B"/>
    <w:rsid w:val="00CD462D"/>
    <w:rsid w:val="00CD4824"/>
    <w:rsid w:val="00CD4C48"/>
    <w:rsid w:val="00CD4D07"/>
    <w:rsid w:val="00CD4D45"/>
    <w:rsid w:val="00CD4DF3"/>
    <w:rsid w:val="00CD4F80"/>
    <w:rsid w:val="00CD511E"/>
    <w:rsid w:val="00CD521B"/>
    <w:rsid w:val="00CD5954"/>
    <w:rsid w:val="00CD5F6C"/>
    <w:rsid w:val="00CD61E0"/>
    <w:rsid w:val="00CD62D0"/>
    <w:rsid w:val="00CD642F"/>
    <w:rsid w:val="00CD697D"/>
    <w:rsid w:val="00CD69CE"/>
    <w:rsid w:val="00CD7303"/>
    <w:rsid w:val="00CD7357"/>
    <w:rsid w:val="00CD7589"/>
    <w:rsid w:val="00CD77FA"/>
    <w:rsid w:val="00CD783E"/>
    <w:rsid w:val="00CD78F5"/>
    <w:rsid w:val="00CE0100"/>
    <w:rsid w:val="00CE02CE"/>
    <w:rsid w:val="00CE07B2"/>
    <w:rsid w:val="00CE0CF4"/>
    <w:rsid w:val="00CE132B"/>
    <w:rsid w:val="00CE18A6"/>
    <w:rsid w:val="00CE1C3B"/>
    <w:rsid w:val="00CE204E"/>
    <w:rsid w:val="00CE281D"/>
    <w:rsid w:val="00CE2D79"/>
    <w:rsid w:val="00CE310E"/>
    <w:rsid w:val="00CE31C1"/>
    <w:rsid w:val="00CE36D6"/>
    <w:rsid w:val="00CE3821"/>
    <w:rsid w:val="00CE3828"/>
    <w:rsid w:val="00CE3DB6"/>
    <w:rsid w:val="00CE4395"/>
    <w:rsid w:val="00CE485E"/>
    <w:rsid w:val="00CE48D8"/>
    <w:rsid w:val="00CE4D0E"/>
    <w:rsid w:val="00CE4E1D"/>
    <w:rsid w:val="00CE4F6E"/>
    <w:rsid w:val="00CE507B"/>
    <w:rsid w:val="00CE51EB"/>
    <w:rsid w:val="00CE558B"/>
    <w:rsid w:val="00CE5611"/>
    <w:rsid w:val="00CE6019"/>
    <w:rsid w:val="00CE611D"/>
    <w:rsid w:val="00CE618F"/>
    <w:rsid w:val="00CE648F"/>
    <w:rsid w:val="00CE65A4"/>
    <w:rsid w:val="00CE6A55"/>
    <w:rsid w:val="00CE6C5E"/>
    <w:rsid w:val="00CE7406"/>
    <w:rsid w:val="00CE785F"/>
    <w:rsid w:val="00CF0238"/>
    <w:rsid w:val="00CF04A3"/>
    <w:rsid w:val="00CF04F5"/>
    <w:rsid w:val="00CF0596"/>
    <w:rsid w:val="00CF07F5"/>
    <w:rsid w:val="00CF0898"/>
    <w:rsid w:val="00CF0AF3"/>
    <w:rsid w:val="00CF0F02"/>
    <w:rsid w:val="00CF0FD7"/>
    <w:rsid w:val="00CF1018"/>
    <w:rsid w:val="00CF11B3"/>
    <w:rsid w:val="00CF1205"/>
    <w:rsid w:val="00CF1473"/>
    <w:rsid w:val="00CF14BC"/>
    <w:rsid w:val="00CF1E9D"/>
    <w:rsid w:val="00CF2004"/>
    <w:rsid w:val="00CF2100"/>
    <w:rsid w:val="00CF22DD"/>
    <w:rsid w:val="00CF2988"/>
    <w:rsid w:val="00CF2E86"/>
    <w:rsid w:val="00CF3712"/>
    <w:rsid w:val="00CF391E"/>
    <w:rsid w:val="00CF3980"/>
    <w:rsid w:val="00CF3BF0"/>
    <w:rsid w:val="00CF3C7F"/>
    <w:rsid w:val="00CF44BE"/>
    <w:rsid w:val="00CF453C"/>
    <w:rsid w:val="00CF471D"/>
    <w:rsid w:val="00CF481A"/>
    <w:rsid w:val="00CF4E83"/>
    <w:rsid w:val="00CF5211"/>
    <w:rsid w:val="00CF5D3D"/>
    <w:rsid w:val="00CF610A"/>
    <w:rsid w:val="00CF6185"/>
    <w:rsid w:val="00CF675F"/>
    <w:rsid w:val="00CF6A02"/>
    <w:rsid w:val="00CF6F4C"/>
    <w:rsid w:val="00CF7242"/>
    <w:rsid w:val="00CF7A03"/>
    <w:rsid w:val="00CF7AE0"/>
    <w:rsid w:val="00D002EF"/>
    <w:rsid w:val="00D003D5"/>
    <w:rsid w:val="00D00537"/>
    <w:rsid w:val="00D00C97"/>
    <w:rsid w:val="00D00FA0"/>
    <w:rsid w:val="00D01344"/>
    <w:rsid w:val="00D0138A"/>
    <w:rsid w:val="00D01568"/>
    <w:rsid w:val="00D019C3"/>
    <w:rsid w:val="00D01E68"/>
    <w:rsid w:val="00D02248"/>
    <w:rsid w:val="00D0230C"/>
    <w:rsid w:val="00D02C36"/>
    <w:rsid w:val="00D02C4E"/>
    <w:rsid w:val="00D02EBD"/>
    <w:rsid w:val="00D036A1"/>
    <w:rsid w:val="00D036AB"/>
    <w:rsid w:val="00D03A8B"/>
    <w:rsid w:val="00D03ADB"/>
    <w:rsid w:val="00D03DA3"/>
    <w:rsid w:val="00D03DE8"/>
    <w:rsid w:val="00D03FD4"/>
    <w:rsid w:val="00D04971"/>
    <w:rsid w:val="00D051E9"/>
    <w:rsid w:val="00D05242"/>
    <w:rsid w:val="00D0535E"/>
    <w:rsid w:val="00D05DE1"/>
    <w:rsid w:val="00D05E30"/>
    <w:rsid w:val="00D05F9A"/>
    <w:rsid w:val="00D06164"/>
    <w:rsid w:val="00D063B5"/>
    <w:rsid w:val="00D06B02"/>
    <w:rsid w:val="00D073AF"/>
    <w:rsid w:val="00D07618"/>
    <w:rsid w:val="00D076E4"/>
    <w:rsid w:val="00D077BE"/>
    <w:rsid w:val="00D0791B"/>
    <w:rsid w:val="00D0797B"/>
    <w:rsid w:val="00D07C4B"/>
    <w:rsid w:val="00D10072"/>
    <w:rsid w:val="00D10725"/>
    <w:rsid w:val="00D10AE3"/>
    <w:rsid w:val="00D10BDA"/>
    <w:rsid w:val="00D10FF1"/>
    <w:rsid w:val="00D1112A"/>
    <w:rsid w:val="00D111D5"/>
    <w:rsid w:val="00D1140E"/>
    <w:rsid w:val="00D11481"/>
    <w:rsid w:val="00D1148F"/>
    <w:rsid w:val="00D1149D"/>
    <w:rsid w:val="00D115CA"/>
    <w:rsid w:val="00D11AEF"/>
    <w:rsid w:val="00D11D1E"/>
    <w:rsid w:val="00D11D2C"/>
    <w:rsid w:val="00D11DA8"/>
    <w:rsid w:val="00D11E25"/>
    <w:rsid w:val="00D1212E"/>
    <w:rsid w:val="00D125B3"/>
    <w:rsid w:val="00D12C08"/>
    <w:rsid w:val="00D12C12"/>
    <w:rsid w:val="00D13632"/>
    <w:rsid w:val="00D13885"/>
    <w:rsid w:val="00D13C3D"/>
    <w:rsid w:val="00D140B2"/>
    <w:rsid w:val="00D142E8"/>
    <w:rsid w:val="00D14AFB"/>
    <w:rsid w:val="00D14C12"/>
    <w:rsid w:val="00D14C85"/>
    <w:rsid w:val="00D15005"/>
    <w:rsid w:val="00D15552"/>
    <w:rsid w:val="00D157C8"/>
    <w:rsid w:val="00D15D7B"/>
    <w:rsid w:val="00D15D89"/>
    <w:rsid w:val="00D16358"/>
    <w:rsid w:val="00D1664B"/>
    <w:rsid w:val="00D16ACF"/>
    <w:rsid w:val="00D16BCB"/>
    <w:rsid w:val="00D16C96"/>
    <w:rsid w:val="00D16EA2"/>
    <w:rsid w:val="00D16F8B"/>
    <w:rsid w:val="00D1737D"/>
    <w:rsid w:val="00D174F7"/>
    <w:rsid w:val="00D17689"/>
    <w:rsid w:val="00D17885"/>
    <w:rsid w:val="00D178FB"/>
    <w:rsid w:val="00D178FE"/>
    <w:rsid w:val="00D17957"/>
    <w:rsid w:val="00D17C62"/>
    <w:rsid w:val="00D17EBA"/>
    <w:rsid w:val="00D20290"/>
    <w:rsid w:val="00D207DA"/>
    <w:rsid w:val="00D20BB2"/>
    <w:rsid w:val="00D20D58"/>
    <w:rsid w:val="00D21475"/>
    <w:rsid w:val="00D214D9"/>
    <w:rsid w:val="00D216A4"/>
    <w:rsid w:val="00D21890"/>
    <w:rsid w:val="00D21AC5"/>
    <w:rsid w:val="00D21D1C"/>
    <w:rsid w:val="00D21D39"/>
    <w:rsid w:val="00D21FEC"/>
    <w:rsid w:val="00D21FF9"/>
    <w:rsid w:val="00D221D7"/>
    <w:rsid w:val="00D229B3"/>
    <w:rsid w:val="00D22C7B"/>
    <w:rsid w:val="00D22EE7"/>
    <w:rsid w:val="00D22F4C"/>
    <w:rsid w:val="00D231B7"/>
    <w:rsid w:val="00D23666"/>
    <w:rsid w:val="00D23899"/>
    <w:rsid w:val="00D23C6F"/>
    <w:rsid w:val="00D23E25"/>
    <w:rsid w:val="00D24370"/>
    <w:rsid w:val="00D243E6"/>
    <w:rsid w:val="00D249E2"/>
    <w:rsid w:val="00D24B14"/>
    <w:rsid w:val="00D24ED2"/>
    <w:rsid w:val="00D24F32"/>
    <w:rsid w:val="00D25465"/>
    <w:rsid w:val="00D257DC"/>
    <w:rsid w:val="00D25B25"/>
    <w:rsid w:val="00D25BA1"/>
    <w:rsid w:val="00D25E42"/>
    <w:rsid w:val="00D26247"/>
    <w:rsid w:val="00D2634E"/>
    <w:rsid w:val="00D264B6"/>
    <w:rsid w:val="00D268AC"/>
    <w:rsid w:val="00D26C65"/>
    <w:rsid w:val="00D26D1C"/>
    <w:rsid w:val="00D27EE4"/>
    <w:rsid w:val="00D27F18"/>
    <w:rsid w:val="00D30285"/>
    <w:rsid w:val="00D305CD"/>
    <w:rsid w:val="00D3067E"/>
    <w:rsid w:val="00D30C4F"/>
    <w:rsid w:val="00D31245"/>
    <w:rsid w:val="00D31458"/>
    <w:rsid w:val="00D31783"/>
    <w:rsid w:val="00D31785"/>
    <w:rsid w:val="00D319EE"/>
    <w:rsid w:val="00D31B7E"/>
    <w:rsid w:val="00D325D3"/>
    <w:rsid w:val="00D3268E"/>
    <w:rsid w:val="00D32852"/>
    <w:rsid w:val="00D32BCC"/>
    <w:rsid w:val="00D32E09"/>
    <w:rsid w:val="00D33730"/>
    <w:rsid w:val="00D33748"/>
    <w:rsid w:val="00D339E0"/>
    <w:rsid w:val="00D33D54"/>
    <w:rsid w:val="00D34577"/>
    <w:rsid w:val="00D346D3"/>
    <w:rsid w:val="00D347BD"/>
    <w:rsid w:val="00D34A9E"/>
    <w:rsid w:val="00D34C87"/>
    <w:rsid w:val="00D34D32"/>
    <w:rsid w:val="00D34DDF"/>
    <w:rsid w:val="00D34F2F"/>
    <w:rsid w:val="00D34FBC"/>
    <w:rsid w:val="00D354C0"/>
    <w:rsid w:val="00D3570B"/>
    <w:rsid w:val="00D3590B"/>
    <w:rsid w:val="00D361AB"/>
    <w:rsid w:val="00D3644F"/>
    <w:rsid w:val="00D365BB"/>
    <w:rsid w:val="00D3682A"/>
    <w:rsid w:val="00D36978"/>
    <w:rsid w:val="00D36BF9"/>
    <w:rsid w:val="00D3748E"/>
    <w:rsid w:val="00D37924"/>
    <w:rsid w:val="00D379EF"/>
    <w:rsid w:val="00D37E78"/>
    <w:rsid w:val="00D37F53"/>
    <w:rsid w:val="00D4013B"/>
    <w:rsid w:val="00D402EF"/>
    <w:rsid w:val="00D40411"/>
    <w:rsid w:val="00D4047B"/>
    <w:rsid w:val="00D4079D"/>
    <w:rsid w:val="00D407FD"/>
    <w:rsid w:val="00D40847"/>
    <w:rsid w:val="00D40D43"/>
    <w:rsid w:val="00D4123B"/>
    <w:rsid w:val="00D41905"/>
    <w:rsid w:val="00D42724"/>
    <w:rsid w:val="00D42768"/>
    <w:rsid w:val="00D42E4A"/>
    <w:rsid w:val="00D43684"/>
    <w:rsid w:val="00D43991"/>
    <w:rsid w:val="00D43C2C"/>
    <w:rsid w:val="00D4456B"/>
    <w:rsid w:val="00D4459F"/>
    <w:rsid w:val="00D44804"/>
    <w:rsid w:val="00D44DDF"/>
    <w:rsid w:val="00D44E0B"/>
    <w:rsid w:val="00D459D1"/>
    <w:rsid w:val="00D45B1F"/>
    <w:rsid w:val="00D45DDD"/>
    <w:rsid w:val="00D45FFC"/>
    <w:rsid w:val="00D46574"/>
    <w:rsid w:val="00D46A7B"/>
    <w:rsid w:val="00D46D4C"/>
    <w:rsid w:val="00D472C4"/>
    <w:rsid w:val="00D4738E"/>
    <w:rsid w:val="00D47724"/>
    <w:rsid w:val="00D4776A"/>
    <w:rsid w:val="00D47952"/>
    <w:rsid w:val="00D47BD2"/>
    <w:rsid w:val="00D5025B"/>
    <w:rsid w:val="00D5084F"/>
    <w:rsid w:val="00D50ECF"/>
    <w:rsid w:val="00D51073"/>
    <w:rsid w:val="00D51706"/>
    <w:rsid w:val="00D5173A"/>
    <w:rsid w:val="00D51F0C"/>
    <w:rsid w:val="00D5243F"/>
    <w:rsid w:val="00D52AE0"/>
    <w:rsid w:val="00D52B3B"/>
    <w:rsid w:val="00D52E62"/>
    <w:rsid w:val="00D52FA8"/>
    <w:rsid w:val="00D53526"/>
    <w:rsid w:val="00D53782"/>
    <w:rsid w:val="00D53803"/>
    <w:rsid w:val="00D538E9"/>
    <w:rsid w:val="00D53AD8"/>
    <w:rsid w:val="00D53B03"/>
    <w:rsid w:val="00D548FD"/>
    <w:rsid w:val="00D552B7"/>
    <w:rsid w:val="00D558CB"/>
    <w:rsid w:val="00D559B1"/>
    <w:rsid w:val="00D55D44"/>
    <w:rsid w:val="00D55F8E"/>
    <w:rsid w:val="00D5639E"/>
    <w:rsid w:val="00D565E0"/>
    <w:rsid w:val="00D56B6A"/>
    <w:rsid w:val="00D573C8"/>
    <w:rsid w:val="00D57A63"/>
    <w:rsid w:val="00D600E9"/>
    <w:rsid w:val="00D61243"/>
    <w:rsid w:val="00D61717"/>
    <w:rsid w:val="00D61A59"/>
    <w:rsid w:val="00D61EC7"/>
    <w:rsid w:val="00D620FC"/>
    <w:rsid w:val="00D6212E"/>
    <w:rsid w:val="00D62214"/>
    <w:rsid w:val="00D62905"/>
    <w:rsid w:val="00D63032"/>
    <w:rsid w:val="00D6322F"/>
    <w:rsid w:val="00D63902"/>
    <w:rsid w:val="00D63AA1"/>
    <w:rsid w:val="00D63D77"/>
    <w:rsid w:val="00D63DB8"/>
    <w:rsid w:val="00D64441"/>
    <w:rsid w:val="00D64460"/>
    <w:rsid w:val="00D6449B"/>
    <w:rsid w:val="00D64510"/>
    <w:rsid w:val="00D6495C"/>
    <w:rsid w:val="00D64C7B"/>
    <w:rsid w:val="00D6539B"/>
    <w:rsid w:val="00D657A3"/>
    <w:rsid w:val="00D659D0"/>
    <w:rsid w:val="00D659D4"/>
    <w:rsid w:val="00D66096"/>
    <w:rsid w:val="00D6671C"/>
    <w:rsid w:val="00D66876"/>
    <w:rsid w:val="00D66D36"/>
    <w:rsid w:val="00D6711B"/>
    <w:rsid w:val="00D6745D"/>
    <w:rsid w:val="00D67587"/>
    <w:rsid w:val="00D676E0"/>
    <w:rsid w:val="00D67C2F"/>
    <w:rsid w:val="00D70219"/>
    <w:rsid w:val="00D7049D"/>
    <w:rsid w:val="00D708C5"/>
    <w:rsid w:val="00D7106F"/>
    <w:rsid w:val="00D715D2"/>
    <w:rsid w:val="00D716E3"/>
    <w:rsid w:val="00D71F0C"/>
    <w:rsid w:val="00D71F28"/>
    <w:rsid w:val="00D72372"/>
    <w:rsid w:val="00D723D5"/>
    <w:rsid w:val="00D72463"/>
    <w:rsid w:val="00D7266A"/>
    <w:rsid w:val="00D72D5C"/>
    <w:rsid w:val="00D72E17"/>
    <w:rsid w:val="00D73940"/>
    <w:rsid w:val="00D73B6E"/>
    <w:rsid w:val="00D73CE2"/>
    <w:rsid w:val="00D73DAC"/>
    <w:rsid w:val="00D7415E"/>
    <w:rsid w:val="00D7442A"/>
    <w:rsid w:val="00D74B8B"/>
    <w:rsid w:val="00D74E88"/>
    <w:rsid w:val="00D74F15"/>
    <w:rsid w:val="00D74FE3"/>
    <w:rsid w:val="00D75318"/>
    <w:rsid w:val="00D7539B"/>
    <w:rsid w:val="00D7556D"/>
    <w:rsid w:val="00D757B8"/>
    <w:rsid w:val="00D75CD8"/>
    <w:rsid w:val="00D75DB8"/>
    <w:rsid w:val="00D76391"/>
    <w:rsid w:val="00D76434"/>
    <w:rsid w:val="00D7662B"/>
    <w:rsid w:val="00D7694C"/>
    <w:rsid w:val="00D76DA8"/>
    <w:rsid w:val="00D76FE7"/>
    <w:rsid w:val="00D770F8"/>
    <w:rsid w:val="00D771FD"/>
    <w:rsid w:val="00D7731C"/>
    <w:rsid w:val="00D77495"/>
    <w:rsid w:val="00D77629"/>
    <w:rsid w:val="00D77ABA"/>
    <w:rsid w:val="00D77B0D"/>
    <w:rsid w:val="00D801FB"/>
    <w:rsid w:val="00D803F4"/>
    <w:rsid w:val="00D80B21"/>
    <w:rsid w:val="00D81912"/>
    <w:rsid w:val="00D81FF9"/>
    <w:rsid w:val="00D82080"/>
    <w:rsid w:val="00D82535"/>
    <w:rsid w:val="00D82740"/>
    <w:rsid w:val="00D82795"/>
    <w:rsid w:val="00D82A00"/>
    <w:rsid w:val="00D82D67"/>
    <w:rsid w:val="00D83C3B"/>
    <w:rsid w:val="00D8410D"/>
    <w:rsid w:val="00D841A2"/>
    <w:rsid w:val="00D849DD"/>
    <w:rsid w:val="00D84CAF"/>
    <w:rsid w:val="00D85112"/>
    <w:rsid w:val="00D85317"/>
    <w:rsid w:val="00D853EB"/>
    <w:rsid w:val="00D854E4"/>
    <w:rsid w:val="00D8594A"/>
    <w:rsid w:val="00D85AAD"/>
    <w:rsid w:val="00D85B20"/>
    <w:rsid w:val="00D8604C"/>
    <w:rsid w:val="00D8665E"/>
    <w:rsid w:val="00D8666B"/>
    <w:rsid w:val="00D86881"/>
    <w:rsid w:val="00D86969"/>
    <w:rsid w:val="00D86BE8"/>
    <w:rsid w:val="00D870E7"/>
    <w:rsid w:val="00D872AC"/>
    <w:rsid w:val="00D872CF"/>
    <w:rsid w:val="00D875E2"/>
    <w:rsid w:val="00D87CC5"/>
    <w:rsid w:val="00D87EB3"/>
    <w:rsid w:val="00D87F7F"/>
    <w:rsid w:val="00D9054F"/>
    <w:rsid w:val="00D909E4"/>
    <w:rsid w:val="00D90DFC"/>
    <w:rsid w:val="00D90EC1"/>
    <w:rsid w:val="00D90FDB"/>
    <w:rsid w:val="00D91078"/>
    <w:rsid w:val="00D91332"/>
    <w:rsid w:val="00D913EE"/>
    <w:rsid w:val="00D914C8"/>
    <w:rsid w:val="00D91600"/>
    <w:rsid w:val="00D91794"/>
    <w:rsid w:val="00D91D9A"/>
    <w:rsid w:val="00D922F4"/>
    <w:rsid w:val="00D926B1"/>
    <w:rsid w:val="00D927BE"/>
    <w:rsid w:val="00D928E3"/>
    <w:rsid w:val="00D92D0B"/>
    <w:rsid w:val="00D94022"/>
    <w:rsid w:val="00D941F1"/>
    <w:rsid w:val="00D945C2"/>
    <w:rsid w:val="00D94D87"/>
    <w:rsid w:val="00D94E7A"/>
    <w:rsid w:val="00D94F53"/>
    <w:rsid w:val="00D954AE"/>
    <w:rsid w:val="00D95B27"/>
    <w:rsid w:val="00D95B59"/>
    <w:rsid w:val="00D95BA6"/>
    <w:rsid w:val="00D95EAD"/>
    <w:rsid w:val="00D963A4"/>
    <w:rsid w:val="00D96645"/>
    <w:rsid w:val="00D96C39"/>
    <w:rsid w:val="00D975DB"/>
    <w:rsid w:val="00D97DE0"/>
    <w:rsid w:val="00D97E2D"/>
    <w:rsid w:val="00DA00BF"/>
    <w:rsid w:val="00DA0491"/>
    <w:rsid w:val="00DA0504"/>
    <w:rsid w:val="00DA066E"/>
    <w:rsid w:val="00DA1753"/>
    <w:rsid w:val="00DA1930"/>
    <w:rsid w:val="00DA1B38"/>
    <w:rsid w:val="00DA209E"/>
    <w:rsid w:val="00DA223A"/>
    <w:rsid w:val="00DA255A"/>
    <w:rsid w:val="00DA256D"/>
    <w:rsid w:val="00DA2653"/>
    <w:rsid w:val="00DA2B65"/>
    <w:rsid w:val="00DA2D71"/>
    <w:rsid w:val="00DA2E2B"/>
    <w:rsid w:val="00DA2E42"/>
    <w:rsid w:val="00DA3162"/>
    <w:rsid w:val="00DA32A0"/>
    <w:rsid w:val="00DA3515"/>
    <w:rsid w:val="00DA383D"/>
    <w:rsid w:val="00DA3B79"/>
    <w:rsid w:val="00DA3E98"/>
    <w:rsid w:val="00DA42AD"/>
    <w:rsid w:val="00DA501A"/>
    <w:rsid w:val="00DA506A"/>
    <w:rsid w:val="00DA52BE"/>
    <w:rsid w:val="00DA5ABD"/>
    <w:rsid w:val="00DA5D29"/>
    <w:rsid w:val="00DA5F15"/>
    <w:rsid w:val="00DA669C"/>
    <w:rsid w:val="00DA66CD"/>
    <w:rsid w:val="00DA6E76"/>
    <w:rsid w:val="00DA6EE2"/>
    <w:rsid w:val="00DA7270"/>
    <w:rsid w:val="00DA73E7"/>
    <w:rsid w:val="00DA77F2"/>
    <w:rsid w:val="00DA7865"/>
    <w:rsid w:val="00DA7AA9"/>
    <w:rsid w:val="00DA7EE4"/>
    <w:rsid w:val="00DB00BC"/>
    <w:rsid w:val="00DB03B2"/>
    <w:rsid w:val="00DB0506"/>
    <w:rsid w:val="00DB0F25"/>
    <w:rsid w:val="00DB168B"/>
    <w:rsid w:val="00DB2611"/>
    <w:rsid w:val="00DB26A7"/>
    <w:rsid w:val="00DB3414"/>
    <w:rsid w:val="00DB345C"/>
    <w:rsid w:val="00DB34D8"/>
    <w:rsid w:val="00DB3632"/>
    <w:rsid w:val="00DB36D2"/>
    <w:rsid w:val="00DB44AB"/>
    <w:rsid w:val="00DB4868"/>
    <w:rsid w:val="00DB48D6"/>
    <w:rsid w:val="00DB49A7"/>
    <w:rsid w:val="00DB507F"/>
    <w:rsid w:val="00DB5462"/>
    <w:rsid w:val="00DB5506"/>
    <w:rsid w:val="00DB557E"/>
    <w:rsid w:val="00DB57A0"/>
    <w:rsid w:val="00DB580A"/>
    <w:rsid w:val="00DB59CD"/>
    <w:rsid w:val="00DB5A7A"/>
    <w:rsid w:val="00DB5EC0"/>
    <w:rsid w:val="00DB6374"/>
    <w:rsid w:val="00DB64D4"/>
    <w:rsid w:val="00DB6529"/>
    <w:rsid w:val="00DB6637"/>
    <w:rsid w:val="00DB6C47"/>
    <w:rsid w:val="00DB6E81"/>
    <w:rsid w:val="00DB74D4"/>
    <w:rsid w:val="00DB7965"/>
    <w:rsid w:val="00DB7C48"/>
    <w:rsid w:val="00DB7DD6"/>
    <w:rsid w:val="00DC0112"/>
    <w:rsid w:val="00DC027E"/>
    <w:rsid w:val="00DC065B"/>
    <w:rsid w:val="00DC0777"/>
    <w:rsid w:val="00DC0D19"/>
    <w:rsid w:val="00DC0DB7"/>
    <w:rsid w:val="00DC10D1"/>
    <w:rsid w:val="00DC12D4"/>
    <w:rsid w:val="00DC1385"/>
    <w:rsid w:val="00DC1753"/>
    <w:rsid w:val="00DC187D"/>
    <w:rsid w:val="00DC22BA"/>
    <w:rsid w:val="00DC2353"/>
    <w:rsid w:val="00DC24C0"/>
    <w:rsid w:val="00DC2F9B"/>
    <w:rsid w:val="00DC3006"/>
    <w:rsid w:val="00DC32D1"/>
    <w:rsid w:val="00DC338D"/>
    <w:rsid w:val="00DC3AA9"/>
    <w:rsid w:val="00DC3B86"/>
    <w:rsid w:val="00DC44D2"/>
    <w:rsid w:val="00DC453F"/>
    <w:rsid w:val="00DC4611"/>
    <w:rsid w:val="00DC5000"/>
    <w:rsid w:val="00DC5125"/>
    <w:rsid w:val="00DC561B"/>
    <w:rsid w:val="00DC58CC"/>
    <w:rsid w:val="00DC5943"/>
    <w:rsid w:val="00DC59F2"/>
    <w:rsid w:val="00DC5AED"/>
    <w:rsid w:val="00DC5FED"/>
    <w:rsid w:val="00DC6170"/>
    <w:rsid w:val="00DC630A"/>
    <w:rsid w:val="00DC6E3F"/>
    <w:rsid w:val="00DD0157"/>
    <w:rsid w:val="00DD036E"/>
    <w:rsid w:val="00DD03AC"/>
    <w:rsid w:val="00DD05C4"/>
    <w:rsid w:val="00DD0983"/>
    <w:rsid w:val="00DD0A42"/>
    <w:rsid w:val="00DD0D99"/>
    <w:rsid w:val="00DD147C"/>
    <w:rsid w:val="00DD16E3"/>
    <w:rsid w:val="00DD1826"/>
    <w:rsid w:val="00DD1B67"/>
    <w:rsid w:val="00DD229D"/>
    <w:rsid w:val="00DD240A"/>
    <w:rsid w:val="00DD2AB9"/>
    <w:rsid w:val="00DD2AC1"/>
    <w:rsid w:val="00DD2C50"/>
    <w:rsid w:val="00DD2C75"/>
    <w:rsid w:val="00DD2F23"/>
    <w:rsid w:val="00DD31C0"/>
    <w:rsid w:val="00DD364A"/>
    <w:rsid w:val="00DD3877"/>
    <w:rsid w:val="00DD4AE4"/>
    <w:rsid w:val="00DD4FBF"/>
    <w:rsid w:val="00DD5411"/>
    <w:rsid w:val="00DD5AAA"/>
    <w:rsid w:val="00DD5C35"/>
    <w:rsid w:val="00DD5D2C"/>
    <w:rsid w:val="00DD5D55"/>
    <w:rsid w:val="00DD5F44"/>
    <w:rsid w:val="00DD67B7"/>
    <w:rsid w:val="00DD6989"/>
    <w:rsid w:val="00DD6DAE"/>
    <w:rsid w:val="00DD7112"/>
    <w:rsid w:val="00DD7683"/>
    <w:rsid w:val="00DD7A96"/>
    <w:rsid w:val="00DD7C0E"/>
    <w:rsid w:val="00DD7C43"/>
    <w:rsid w:val="00DD7D63"/>
    <w:rsid w:val="00DE01D6"/>
    <w:rsid w:val="00DE0239"/>
    <w:rsid w:val="00DE0656"/>
    <w:rsid w:val="00DE0823"/>
    <w:rsid w:val="00DE0966"/>
    <w:rsid w:val="00DE0AD3"/>
    <w:rsid w:val="00DE0C81"/>
    <w:rsid w:val="00DE0C9E"/>
    <w:rsid w:val="00DE1021"/>
    <w:rsid w:val="00DE1273"/>
    <w:rsid w:val="00DE1A53"/>
    <w:rsid w:val="00DE1B91"/>
    <w:rsid w:val="00DE1CBE"/>
    <w:rsid w:val="00DE1D10"/>
    <w:rsid w:val="00DE1DDB"/>
    <w:rsid w:val="00DE2617"/>
    <w:rsid w:val="00DE2D05"/>
    <w:rsid w:val="00DE2DD5"/>
    <w:rsid w:val="00DE31AF"/>
    <w:rsid w:val="00DE38ED"/>
    <w:rsid w:val="00DE3970"/>
    <w:rsid w:val="00DE3E13"/>
    <w:rsid w:val="00DE3FEB"/>
    <w:rsid w:val="00DE4317"/>
    <w:rsid w:val="00DE4401"/>
    <w:rsid w:val="00DE48EB"/>
    <w:rsid w:val="00DE4B33"/>
    <w:rsid w:val="00DE4D2C"/>
    <w:rsid w:val="00DE4DB6"/>
    <w:rsid w:val="00DE54DD"/>
    <w:rsid w:val="00DE5BE3"/>
    <w:rsid w:val="00DE617A"/>
    <w:rsid w:val="00DE6671"/>
    <w:rsid w:val="00DE681C"/>
    <w:rsid w:val="00DE6BBA"/>
    <w:rsid w:val="00DE73D0"/>
    <w:rsid w:val="00DE776D"/>
    <w:rsid w:val="00DE7B63"/>
    <w:rsid w:val="00DE7D59"/>
    <w:rsid w:val="00DF05C6"/>
    <w:rsid w:val="00DF0D0B"/>
    <w:rsid w:val="00DF0ED1"/>
    <w:rsid w:val="00DF150A"/>
    <w:rsid w:val="00DF150B"/>
    <w:rsid w:val="00DF15A2"/>
    <w:rsid w:val="00DF166E"/>
    <w:rsid w:val="00DF1712"/>
    <w:rsid w:val="00DF1D9B"/>
    <w:rsid w:val="00DF1F62"/>
    <w:rsid w:val="00DF2D62"/>
    <w:rsid w:val="00DF2E4B"/>
    <w:rsid w:val="00DF313D"/>
    <w:rsid w:val="00DF3184"/>
    <w:rsid w:val="00DF32AC"/>
    <w:rsid w:val="00DF3357"/>
    <w:rsid w:val="00DF3BC9"/>
    <w:rsid w:val="00DF41CF"/>
    <w:rsid w:val="00DF424D"/>
    <w:rsid w:val="00DF439E"/>
    <w:rsid w:val="00DF497A"/>
    <w:rsid w:val="00DF4999"/>
    <w:rsid w:val="00DF4E79"/>
    <w:rsid w:val="00DF57D3"/>
    <w:rsid w:val="00DF5BAF"/>
    <w:rsid w:val="00DF5D0F"/>
    <w:rsid w:val="00DF5DD0"/>
    <w:rsid w:val="00DF5E2E"/>
    <w:rsid w:val="00DF61B8"/>
    <w:rsid w:val="00DF62D5"/>
    <w:rsid w:val="00DF6331"/>
    <w:rsid w:val="00DF6972"/>
    <w:rsid w:val="00DF69AB"/>
    <w:rsid w:val="00DF6A14"/>
    <w:rsid w:val="00DF771C"/>
    <w:rsid w:val="00DF7B3F"/>
    <w:rsid w:val="00DF7BB1"/>
    <w:rsid w:val="00DF7CD1"/>
    <w:rsid w:val="00DF7DEC"/>
    <w:rsid w:val="00DF7F4F"/>
    <w:rsid w:val="00DF7FBD"/>
    <w:rsid w:val="00E00709"/>
    <w:rsid w:val="00E00793"/>
    <w:rsid w:val="00E00A75"/>
    <w:rsid w:val="00E00C38"/>
    <w:rsid w:val="00E010A8"/>
    <w:rsid w:val="00E012B1"/>
    <w:rsid w:val="00E013B1"/>
    <w:rsid w:val="00E014B5"/>
    <w:rsid w:val="00E0203A"/>
    <w:rsid w:val="00E020CC"/>
    <w:rsid w:val="00E020E8"/>
    <w:rsid w:val="00E02658"/>
    <w:rsid w:val="00E0299B"/>
    <w:rsid w:val="00E02A70"/>
    <w:rsid w:val="00E02A8F"/>
    <w:rsid w:val="00E02C71"/>
    <w:rsid w:val="00E02F08"/>
    <w:rsid w:val="00E0306A"/>
    <w:rsid w:val="00E03B04"/>
    <w:rsid w:val="00E03B47"/>
    <w:rsid w:val="00E03BD6"/>
    <w:rsid w:val="00E03C2D"/>
    <w:rsid w:val="00E03F7B"/>
    <w:rsid w:val="00E04539"/>
    <w:rsid w:val="00E04681"/>
    <w:rsid w:val="00E04AC6"/>
    <w:rsid w:val="00E04C8A"/>
    <w:rsid w:val="00E04ECB"/>
    <w:rsid w:val="00E0555B"/>
    <w:rsid w:val="00E05892"/>
    <w:rsid w:val="00E05A20"/>
    <w:rsid w:val="00E05F8B"/>
    <w:rsid w:val="00E06378"/>
    <w:rsid w:val="00E069AF"/>
    <w:rsid w:val="00E06D50"/>
    <w:rsid w:val="00E06F18"/>
    <w:rsid w:val="00E07120"/>
    <w:rsid w:val="00E07694"/>
    <w:rsid w:val="00E07747"/>
    <w:rsid w:val="00E0785A"/>
    <w:rsid w:val="00E07906"/>
    <w:rsid w:val="00E07A10"/>
    <w:rsid w:val="00E07EA5"/>
    <w:rsid w:val="00E1070B"/>
    <w:rsid w:val="00E10B5A"/>
    <w:rsid w:val="00E10FFF"/>
    <w:rsid w:val="00E11377"/>
    <w:rsid w:val="00E11498"/>
    <w:rsid w:val="00E115EC"/>
    <w:rsid w:val="00E11646"/>
    <w:rsid w:val="00E117D9"/>
    <w:rsid w:val="00E11920"/>
    <w:rsid w:val="00E11979"/>
    <w:rsid w:val="00E11988"/>
    <w:rsid w:val="00E11B45"/>
    <w:rsid w:val="00E11BB1"/>
    <w:rsid w:val="00E120FD"/>
    <w:rsid w:val="00E1240D"/>
    <w:rsid w:val="00E1254F"/>
    <w:rsid w:val="00E129BA"/>
    <w:rsid w:val="00E12B73"/>
    <w:rsid w:val="00E12D69"/>
    <w:rsid w:val="00E12EA7"/>
    <w:rsid w:val="00E132F1"/>
    <w:rsid w:val="00E13616"/>
    <w:rsid w:val="00E1375B"/>
    <w:rsid w:val="00E137E4"/>
    <w:rsid w:val="00E14088"/>
    <w:rsid w:val="00E1410E"/>
    <w:rsid w:val="00E14742"/>
    <w:rsid w:val="00E149B1"/>
    <w:rsid w:val="00E14A8B"/>
    <w:rsid w:val="00E14AE7"/>
    <w:rsid w:val="00E14F7B"/>
    <w:rsid w:val="00E1535E"/>
    <w:rsid w:val="00E157CB"/>
    <w:rsid w:val="00E15BBE"/>
    <w:rsid w:val="00E15C66"/>
    <w:rsid w:val="00E16118"/>
    <w:rsid w:val="00E1649A"/>
    <w:rsid w:val="00E16820"/>
    <w:rsid w:val="00E16A40"/>
    <w:rsid w:val="00E16D43"/>
    <w:rsid w:val="00E16E41"/>
    <w:rsid w:val="00E1704F"/>
    <w:rsid w:val="00E17872"/>
    <w:rsid w:val="00E17918"/>
    <w:rsid w:val="00E17A14"/>
    <w:rsid w:val="00E17B85"/>
    <w:rsid w:val="00E206F7"/>
    <w:rsid w:val="00E2078F"/>
    <w:rsid w:val="00E20871"/>
    <w:rsid w:val="00E21B6B"/>
    <w:rsid w:val="00E21D64"/>
    <w:rsid w:val="00E21E8F"/>
    <w:rsid w:val="00E21F90"/>
    <w:rsid w:val="00E21FE5"/>
    <w:rsid w:val="00E22601"/>
    <w:rsid w:val="00E226F1"/>
    <w:rsid w:val="00E22CC6"/>
    <w:rsid w:val="00E23488"/>
    <w:rsid w:val="00E23BB2"/>
    <w:rsid w:val="00E23BBE"/>
    <w:rsid w:val="00E24098"/>
    <w:rsid w:val="00E24641"/>
    <w:rsid w:val="00E246ED"/>
    <w:rsid w:val="00E24A24"/>
    <w:rsid w:val="00E24D5A"/>
    <w:rsid w:val="00E24DB2"/>
    <w:rsid w:val="00E24DC2"/>
    <w:rsid w:val="00E25216"/>
    <w:rsid w:val="00E2556C"/>
    <w:rsid w:val="00E256F9"/>
    <w:rsid w:val="00E259AC"/>
    <w:rsid w:val="00E259EC"/>
    <w:rsid w:val="00E25D03"/>
    <w:rsid w:val="00E25E0E"/>
    <w:rsid w:val="00E263F1"/>
    <w:rsid w:val="00E26471"/>
    <w:rsid w:val="00E26917"/>
    <w:rsid w:val="00E26B98"/>
    <w:rsid w:val="00E26BD5"/>
    <w:rsid w:val="00E27041"/>
    <w:rsid w:val="00E304FE"/>
    <w:rsid w:val="00E307F1"/>
    <w:rsid w:val="00E30969"/>
    <w:rsid w:val="00E30C76"/>
    <w:rsid w:val="00E30CE0"/>
    <w:rsid w:val="00E311C7"/>
    <w:rsid w:val="00E3160D"/>
    <w:rsid w:val="00E3178B"/>
    <w:rsid w:val="00E31A34"/>
    <w:rsid w:val="00E31ADD"/>
    <w:rsid w:val="00E32000"/>
    <w:rsid w:val="00E321C6"/>
    <w:rsid w:val="00E3232E"/>
    <w:rsid w:val="00E3256F"/>
    <w:rsid w:val="00E32756"/>
    <w:rsid w:val="00E328C0"/>
    <w:rsid w:val="00E32990"/>
    <w:rsid w:val="00E32CFF"/>
    <w:rsid w:val="00E32DEF"/>
    <w:rsid w:val="00E33419"/>
    <w:rsid w:val="00E3358A"/>
    <w:rsid w:val="00E3366D"/>
    <w:rsid w:val="00E3367A"/>
    <w:rsid w:val="00E33733"/>
    <w:rsid w:val="00E338BD"/>
    <w:rsid w:val="00E33DF8"/>
    <w:rsid w:val="00E33E03"/>
    <w:rsid w:val="00E34320"/>
    <w:rsid w:val="00E3462C"/>
    <w:rsid w:val="00E3482D"/>
    <w:rsid w:val="00E3482F"/>
    <w:rsid w:val="00E34B68"/>
    <w:rsid w:val="00E35002"/>
    <w:rsid w:val="00E352E9"/>
    <w:rsid w:val="00E355A6"/>
    <w:rsid w:val="00E35729"/>
    <w:rsid w:val="00E35843"/>
    <w:rsid w:val="00E35852"/>
    <w:rsid w:val="00E35861"/>
    <w:rsid w:val="00E359BA"/>
    <w:rsid w:val="00E3642F"/>
    <w:rsid w:val="00E36CA3"/>
    <w:rsid w:val="00E36F82"/>
    <w:rsid w:val="00E3703A"/>
    <w:rsid w:val="00E37576"/>
    <w:rsid w:val="00E3768B"/>
    <w:rsid w:val="00E37956"/>
    <w:rsid w:val="00E37D53"/>
    <w:rsid w:val="00E37F65"/>
    <w:rsid w:val="00E40576"/>
    <w:rsid w:val="00E408EF"/>
    <w:rsid w:val="00E40B03"/>
    <w:rsid w:val="00E40C7D"/>
    <w:rsid w:val="00E40DBE"/>
    <w:rsid w:val="00E40F53"/>
    <w:rsid w:val="00E40F5C"/>
    <w:rsid w:val="00E41319"/>
    <w:rsid w:val="00E414D5"/>
    <w:rsid w:val="00E415B8"/>
    <w:rsid w:val="00E419D3"/>
    <w:rsid w:val="00E41D69"/>
    <w:rsid w:val="00E41F2E"/>
    <w:rsid w:val="00E4228D"/>
    <w:rsid w:val="00E42564"/>
    <w:rsid w:val="00E4267D"/>
    <w:rsid w:val="00E42792"/>
    <w:rsid w:val="00E42A89"/>
    <w:rsid w:val="00E42C22"/>
    <w:rsid w:val="00E42C5B"/>
    <w:rsid w:val="00E42F4F"/>
    <w:rsid w:val="00E4326D"/>
    <w:rsid w:val="00E432A6"/>
    <w:rsid w:val="00E43450"/>
    <w:rsid w:val="00E436DD"/>
    <w:rsid w:val="00E43F60"/>
    <w:rsid w:val="00E44255"/>
    <w:rsid w:val="00E44435"/>
    <w:rsid w:val="00E44507"/>
    <w:rsid w:val="00E445A9"/>
    <w:rsid w:val="00E44B9C"/>
    <w:rsid w:val="00E45033"/>
    <w:rsid w:val="00E45073"/>
    <w:rsid w:val="00E452C1"/>
    <w:rsid w:val="00E4545E"/>
    <w:rsid w:val="00E45642"/>
    <w:rsid w:val="00E456F9"/>
    <w:rsid w:val="00E45F81"/>
    <w:rsid w:val="00E464A8"/>
    <w:rsid w:val="00E4667A"/>
    <w:rsid w:val="00E468E8"/>
    <w:rsid w:val="00E46C4A"/>
    <w:rsid w:val="00E46CBB"/>
    <w:rsid w:val="00E47A3A"/>
    <w:rsid w:val="00E47AEA"/>
    <w:rsid w:val="00E47D98"/>
    <w:rsid w:val="00E501A6"/>
    <w:rsid w:val="00E50609"/>
    <w:rsid w:val="00E50BD1"/>
    <w:rsid w:val="00E50DA3"/>
    <w:rsid w:val="00E510D1"/>
    <w:rsid w:val="00E51283"/>
    <w:rsid w:val="00E516C1"/>
    <w:rsid w:val="00E51AD6"/>
    <w:rsid w:val="00E52085"/>
    <w:rsid w:val="00E5222A"/>
    <w:rsid w:val="00E52328"/>
    <w:rsid w:val="00E525D6"/>
    <w:rsid w:val="00E52847"/>
    <w:rsid w:val="00E52F87"/>
    <w:rsid w:val="00E530C5"/>
    <w:rsid w:val="00E53474"/>
    <w:rsid w:val="00E53573"/>
    <w:rsid w:val="00E5435D"/>
    <w:rsid w:val="00E545F3"/>
    <w:rsid w:val="00E547E8"/>
    <w:rsid w:val="00E54BB4"/>
    <w:rsid w:val="00E54E73"/>
    <w:rsid w:val="00E5514D"/>
    <w:rsid w:val="00E55324"/>
    <w:rsid w:val="00E55402"/>
    <w:rsid w:val="00E55806"/>
    <w:rsid w:val="00E55C7C"/>
    <w:rsid w:val="00E5608A"/>
    <w:rsid w:val="00E56372"/>
    <w:rsid w:val="00E5669F"/>
    <w:rsid w:val="00E56A90"/>
    <w:rsid w:val="00E570C0"/>
    <w:rsid w:val="00E57237"/>
    <w:rsid w:val="00E5737D"/>
    <w:rsid w:val="00E576E8"/>
    <w:rsid w:val="00E579DA"/>
    <w:rsid w:val="00E579F3"/>
    <w:rsid w:val="00E60152"/>
    <w:rsid w:val="00E6035E"/>
    <w:rsid w:val="00E6043C"/>
    <w:rsid w:val="00E60464"/>
    <w:rsid w:val="00E609C0"/>
    <w:rsid w:val="00E60A16"/>
    <w:rsid w:val="00E60D02"/>
    <w:rsid w:val="00E61131"/>
    <w:rsid w:val="00E615E8"/>
    <w:rsid w:val="00E616D8"/>
    <w:rsid w:val="00E618F7"/>
    <w:rsid w:val="00E61C4D"/>
    <w:rsid w:val="00E61DFA"/>
    <w:rsid w:val="00E626D7"/>
    <w:rsid w:val="00E62F1F"/>
    <w:rsid w:val="00E63224"/>
    <w:rsid w:val="00E633FD"/>
    <w:rsid w:val="00E6382E"/>
    <w:rsid w:val="00E63942"/>
    <w:rsid w:val="00E63D3E"/>
    <w:rsid w:val="00E63FE5"/>
    <w:rsid w:val="00E640E8"/>
    <w:rsid w:val="00E6417E"/>
    <w:rsid w:val="00E64314"/>
    <w:rsid w:val="00E65121"/>
    <w:rsid w:val="00E6533C"/>
    <w:rsid w:val="00E65A99"/>
    <w:rsid w:val="00E65AEF"/>
    <w:rsid w:val="00E65D6E"/>
    <w:rsid w:val="00E65EB9"/>
    <w:rsid w:val="00E6600E"/>
    <w:rsid w:val="00E660C9"/>
    <w:rsid w:val="00E6640F"/>
    <w:rsid w:val="00E664C9"/>
    <w:rsid w:val="00E6691E"/>
    <w:rsid w:val="00E66946"/>
    <w:rsid w:val="00E669D0"/>
    <w:rsid w:val="00E66EF2"/>
    <w:rsid w:val="00E66F53"/>
    <w:rsid w:val="00E673A5"/>
    <w:rsid w:val="00E67523"/>
    <w:rsid w:val="00E67533"/>
    <w:rsid w:val="00E67686"/>
    <w:rsid w:val="00E677F5"/>
    <w:rsid w:val="00E67D0C"/>
    <w:rsid w:val="00E67F03"/>
    <w:rsid w:val="00E7022F"/>
    <w:rsid w:val="00E7028D"/>
    <w:rsid w:val="00E709FC"/>
    <w:rsid w:val="00E70BD1"/>
    <w:rsid w:val="00E70E17"/>
    <w:rsid w:val="00E70F6F"/>
    <w:rsid w:val="00E71DA3"/>
    <w:rsid w:val="00E721C0"/>
    <w:rsid w:val="00E722E2"/>
    <w:rsid w:val="00E72444"/>
    <w:rsid w:val="00E727BA"/>
    <w:rsid w:val="00E728F1"/>
    <w:rsid w:val="00E72FDE"/>
    <w:rsid w:val="00E73233"/>
    <w:rsid w:val="00E73457"/>
    <w:rsid w:val="00E7374C"/>
    <w:rsid w:val="00E739FE"/>
    <w:rsid w:val="00E73C16"/>
    <w:rsid w:val="00E73FB7"/>
    <w:rsid w:val="00E74499"/>
    <w:rsid w:val="00E744A7"/>
    <w:rsid w:val="00E7497A"/>
    <w:rsid w:val="00E74BEE"/>
    <w:rsid w:val="00E74DC2"/>
    <w:rsid w:val="00E74E0A"/>
    <w:rsid w:val="00E74EA7"/>
    <w:rsid w:val="00E75246"/>
    <w:rsid w:val="00E75B35"/>
    <w:rsid w:val="00E75CF3"/>
    <w:rsid w:val="00E75F2C"/>
    <w:rsid w:val="00E76048"/>
    <w:rsid w:val="00E7624E"/>
    <w:rsid w:val="00E76477"/>
    <w:rsid w:val="00E76576"/>
    <w:rsid w:val="00E7686D"/>
    <w:rsid w:val="00E76872"/>
    <w:rsid w:val="00E76C66"/>
    <w:rsid w:val="00E77105"/>
    <w:rsid w:val="00E77311"/>
    <w:rsid w:val="00E77519"/>
    <w:rsid w:val="00E77E39"/>
    <w:rsid w:val="00E77FF6"/>
    <w:rsid w:val="00E80260"/>
    <w:rsid w:val="00E80BBA"/>
    <w:rsid w:val="00E80EB9"/>
    <w:rsid w:val="00E80F19"/>
    <w:rsid w:val="00E81002"/>
    <w:rsid w:val="00E81036"/>
    <w:rsid w:val="00E8117E"/>
    <w:rsid w:val="00E813B4"/>
    <w:rsid w:val="00E81643"/>
    <w:rsid w:val="00E81954"/>
    <w:rsid w:val="00E8205B"/>
    <w:rsid w:val="00E824CF"/>
    <w:rsid w:val="00E82D29"/>
    <w:rsid w:val="00E82EC5"/>
    <w:rsid w:val="00E832A2"/>
    <w:rsid w:val="00E837FF"/>
    <w:rsid w:val="00E8383D"/>
    <w:rsid w:val="00E83A4B"/>
    <w:rsid w:val="00E83A9A"/>
    <w:rsid w:val="00E83D8C"/>
    <w:rsid w:val="00E83E9A"/>
    <w:rsid w:val="00E842DB"/>
    <w:rsid w:val="00E849DE"/>
    <w:rsid w:val="00E84BFB"/>
    <w:rsid w:val="00E85503"/>
    <w:rsid w:val="00E855C2"/>
    <w:rsid w:val="00E85F18"/>
    <w:rsid w:val="00E8630F"/>
    <w:rsid w:val="00E8656D"/>
    <w:rsid w:val="00E86924"/>
    <w:rsid w:val="00E86CDA"/>
    <w:rsid w:val="00E86E03"/>
    <w:rsid w:val="00E86EB5"/>
    <w:rsid w:val="00E872E8"/>
    <w:rsid w:val="00E87DE8"/>
    <w:rsid w:val="00E87E7D"/>
    <w:rsid w:val="00E87F74"/>
    <w:rsid w:val="00E9057A"/>
    <w:rsid w:val="00E91FAB"/>
    <w:rsid w:val="00E927F6"/>
    <w:rsid w:val="00E9285C"/>
    <w:rsid w:val="00E92CF8"/>
    <w:rsid w:val="00E92D2C"/>
    <w:rsid w:val="00E9306A"/>
    <w:rsid w:val="00E931C9"/>
    <w:rsid w:val="00E939B6"/>
    <w:rsid w:val="00E939FB"/>
    <w:rsid w:val="00E93C32"/>
    <w:rsid w:val="00E93C65"/>
    <w:rsid w:val="00E94E30"/>
    <w:rsid w:val="00E95052"/>
    <w:rsid w:val="00E956CD"/>
    <w:rsid w:val="00E95759"/>
    <w:rsid w:val="00E957BC"/>
    <w:rsid w:val="00E95B57"/>
    <w:rsid w:val="00E95EB0"/>
    <w:rsid w:val="00E96A47"/>
    <w:rsid w:val="00E96B02"/>
    <w:rsid w:val="00E96B0D"/>
    <w:rsid w:val="00E96BC0"/>
    <w:rsid w:val="00E96E2D"/>
    <w:rsid w:val="00E97246"/>
    <w:rsid w:val="00E97402"/>
    <w:rsid w:val="00E977A5"/>
    <w:rsid w:val="00E97CFF"/>
    <w:rsid w:val="00EA02F6"/>
    <w:rsid w:val="00EA0327"/>
    <w:rsid w:val="00EA04AA"/>
    <w:rsid w:val="00EA06A8"/>
    <w:rsid w:val="00EA0BB2"/>
    <w:rsid w:val="00EA0CAF"/>
    <w:rsid w:val="00EA10BF"/>
    <w:rsid w:val="00EA1338"/>
    <w:rsid w:val="00EA2179"/>
    <w:rsid w:val="00EA21F9"/>
    <w:rsid w:val="00EA2279"/>
    <w:rsid w:val="00EA23EB"/>
    <w:rsid w:val="00EA2779"/>
    <w:rsid w:val="00EA28A0"/>
    <w:rsid w:val="00EA2A44"/>
    <w:rsid w:val="00EA2B9A"/>
    <w:rsid w:val="00EA30B0"/>
    <w:rsid w:val="00EA321A"/>
    <w:rsid w:val="00EA3329"/>
    <w:rsid w:val="00EA335F"/>
    <w:rsid w:val="00EA3434"/>
    <w:rsid w:val="00EA3715"/>
    <w:rsid w:val="00EA3867"/>
    <w:rsid w:val="00EA389F"/>
    <w:rsid w:val="00EA3B01"/>
    <w:rsid w:val="00EA3E58"/>
    <w:rsid w:val="00EA42EE"/>
    <w:rsid w:val="00EA4A5D"/>
    <w:rsid w:val="00EA4DA2"/>
    <w:rsid w:val="00EA5018"/>
    <w:rsid w:val="00EA56F8"/>
    <w:rsid w:val="00EA5E9E"/>
    <w:rsid w:val="00EA5ED5"/>
    <w:rsid w:val="00EA64C8"/>
    <w:rsid w:val="00EA6B7B"/>
    <w:rsid w:val="00EA6D9D"/>
    <w:rsid w:val="00EA72CF"/>
    <w:rsid w:val="00EA74E6"/>
    <w:rsid w:val="00EA7819"/>
    <w:rsid w:val="00EA7914"/>
    <w:rsid w:val="00EA7D7F"/>
    <w:rsid w:val="00EA7E8D"/>
    <w:rsid w:val="00EA7F4D"/>
    <w:rsid w:val="00EA7F50"/>
    <w:rsid w:val="00EA7FC8"/>
    <w:rsid w:val="00EB0257"/>
    <w:rsid w:val="00EB05B7"/>
    <w:rsid w:val="00EB05E2"/>
    <w:rsid w:val="00EB0757"/>
    <w:rsid w:val="00EB0B1D"/>
    <w:rsid w:val="00EB0BF4"/>
    <w:rsid w:val="00EB1522"/>
    <w:rsid w:val="00EB15CD"/>
    <w:rsid w:val="00EB1715"/>
    <w:rsid w:val="00EB17D5"/>
    <w:rsid w:val="00EB1869"/>
    <w:rsid w:val="00EB18E9"/>
    <w:rsid w:val="00EB1B7E"/>
    <w:rsid w:val="00EB1BB9"/>
    <w:rsid w:val="00EB1D42"/>
    <w:rsid w:val="00EB26F9"/>
    <w:rsid w:val="00EB27D0"/>
    <w:rsid w:val="00EB2856"/>
    <w:rsid w:val="00EB28C5"/>
    <w:rsid w:val="00EB29E0"/>
    <w:rsid w:val="00EB2D1C"/>
    <w:rsid w:val="00EB3103"/>
    <w:rsid w:val="00EB3613"/>
    <w:rsid w:val="00EB41B1"/>
    <w:rsid w:val="00EB4447"/>
    <w:rsid w:val="00EB4C8C"/>
    <w:rsid w:val="00EB4CE2"/>
    <w:rsid w:val="00EB4F03"/>
    <w:rsid w:val="00EB5012"/>
    <w:rsid w:val="00EB50BB"/>
    <w:rsid w:val="00EB536A"/>
    <w:rsid w:val="00EB590C"/>
    <w:rsid w:val="00EB5CE1"/>
    <w:rsid w:val="00EB5EFA"/>
    <w:rsid w:val="00EB64EF"/>
    <w:rsid w:val="00EB691D"/>
    <w:rsid w:val="00EB6E85"/>
    <w:rsid w:val="00EB7274"/>
    <w:rsid w:val="00EB7291"/>
    <w:rsid w:val="00EB733F"/>
    <w:rsid w:val="00EB7434"/>
    <w:rsid w:val="00EB7742"/>
    <w:rsid w:val="00EB7B27"/>
    <w:rsid w:val="00EB7C8F"/>
    <w:rsid w:val="00EB7F26"/>
    <w:rsid w:val="00EB7F54"/>
    <w:rsid w:val="00EC02AE"/>
    <w:rsid w:val="00EC0556"/>
    <w:rsid w:val="00EC06B7"/>
    <w:rsid w:val="00EC0CA0"/>
    <w:rsid w:val="00EC0FC6"/>
    <w:rsid w:val="00EC10A6"/>
    <w:rsid w:val="00EC1100"/>
    <w:rsid w:val="00EC16E3"/>
    <w:rsid w:val="00EC1A15"/>
    <w:rsid w:val="00EC1ABA"/>
    <w:rsid w:val="00EC1AC5"/>
    <w:rsid w:val="00EC1EF2"/>
    <w:rsid w:val="00EC25A4"/>
    <w:rsid w:val="00EC25E6"/>
    <w:rsid w:val="00EC28B4"/>
    <w:rsid w:val="00EC2B83"/>
    <w:rsid w:val="00EC2E8F"/>
    <w:rsid w:val="00EC2EF7"/>
    <w:rsid w:val="00EC331C"/>
    <w:rsid w:val="00EC353B"/>
    <w:rsid w:val="00EC377A"/>
    <w:rsid w:val="00EC378A"/>
    <w:rsid w:val="00EC3E83"/>
    <w:rsid w:val="00EC4842"/>
    <w:rsid w:val="00EC4E55"/>
    <w:rsid w:val="00EC564B"/>
    <w:rsid w:val="00EC5885"/>
    <w:rsid w:val="00EC6363"/>
    <w:rsid w:val="00EC6586"/>
    <w:rsid w:val="00EC73A6"/>
    <w:rsid w:val="00EC7D1F"/>
    <w:rsid w:val="00EC7F26"/>
    <w:rsid w:val="00ED0545"/>
    <w:rsid w:val="00ED0BFA"/>
    <w:rsid w:val="00ED0C55"/>
    <w:rsid w:val="00ED0CBD"/>
    <w:rsid w:val="00ED1036"/>
    <w:rsid w:val="00ED109D"/>
    <w:rsid w:val="00ED1498"/>
    <w:rsid w:val="00ED190E"/>
    <w:rsid w:val="00ED1971"/>
    <w:rsid w:val="00ED1E05"/>
    <w:rsid w:val="00ED291F"/>
    <w:rsid w:val="00ED34F1"/>
    <w:rsid w:val="00ED38D1"/>
    <w:rsid w:val="00ED3A0F"/>
    <w:rsid w:val="00ED404D"/>
    <w:rsid w:val="00ED4AA7"/>
    <w:rsid w:val="00ED4D8D"/>
    <w:rsid w:val="00ED4FE6"/>
    <w:rsid w:val="00ED5702"/>
    <w:rsid w:val="00ED5A3F"/>
    <w:rsid w:val="00ED626A"/>
    <w:rsid w:val="00ED6B68"/>
    <w:rsid w:val="00ED741A"/>
    <w:rsid w:val="00ED741F"/>
    <w:rsid w:val="00ED7784"/>
    <w:rsid w:val="00ED7B1E"/>
    <w:rsid w:val="00ED7E1C"/>
    <w:rsid w:val="00ED7EA2"/>
    <w:rsid w:val="00EE0235"/>
    <w:rsid w:val="00EE0582"/>
    <w:rsid w:val="00EE0BE6"/>
    <w:rsid w:val="00EE0EA9"/>
    <w:rsid w:val="00EE10E5"/>
    <w:rsid w:val="00EE1365"/>
    <w:rsid w:val="00EE1528"/>
    <w:rsid w:val="00EE158D"/>
    <w:rsid w:val="00EE15C3"/>
    <w:rsid w:val="00EE1686"/>
    <w:rsid w:val="00EE190F"/>
    <w:rsid w:val="00EE1B07"/>
    <w:rsid w:val="00EE1D36"/>
    <w:rsid w:val="00EE3415"/>
    <w:rsid w:val="00EE366A"/>
    <w:rsid w:val="00EE3C45"/>
    <w:rsid w:val="00EE3F45"/>
    <w:rsid w:val="00EE420E"/>
    <w:rsid w:val="00EE4D47"/>
    <w:rsid w:val="00EE4F7D"/>
    <w:rsid w:val="00EE5629"/>
    <w:rsid w:val="00EE6342"/>
    <w:rsid w:val="00EE6378"/>
    <w:rsid w:val="00EE669E"/>
    <w:rsid w:val="00EE75FA"/>
    <w:rsid w:val="00EE79C0"/>
    <w:rsid w:val="00EE79C6"/>
    <w:rsid w:val="00EE7DD0"/>
    <w:rsid w:val="00EE7E37"/>
    <w:rsid w:val="00EE7E7F"/>
    <w:rsid w:val="00EF010B"/>
    <w:rsid w:val="00EF0278"/>
    <w:rsid w:val="00EF123A"/>
    <w:rsid w:val="00EF164C"/>
    <w:rsid w:val="00EF180F"/>
    <w:rsid w:val="00EF18A7"/>
    <w:rsid w:val="00EF1E2D"/>
    <w:rsid w:val="00EF2801"/>
    <w:rsid w:val="00EF2803"/>
    <w:rsid w:val="00EF2C42"/>
    <w:rsid w:val="00EF2C52"/>
    <w:rsid w:val="00EF2D6E"/>
    <w:rsid w:val="00EF2F19"/>
    <w:rsid w:val="00EF383E"/>
    <w:rsid w:val="00EF389C"/>
    <w:rsid w:val="00EF3FC0"/>
    <w:rsid w:val="00EF487C"/>
    <w:rsid w:val="00EF4AF8"/>
    <w:rsid w:val="00EF4F0B"/>
    <w:rsid w:val="00EF5111"/>
    <w:rsid w:val="00EF53C7"/>
    <w:rsid w:val="00EF5633"/>
    <w:rsid w:val="00EF57F2"/>
    <w:rsid w:val="00EF5B20"/>
    <w:rsid w:val="00EF5B77"/>
    <w:rsid w:val="00EF5BD9"/>
    <w:rsid w:val="00EF5FD2"/>
    <w:rsid w:val="00EF63EF"/>
    <w:rsid w:val="00EF64A6"/>
    <w:rsid w:val="00EF6C84"/>
    <w:rsid w:val="00EF6FF4"/>
    <w:rsid w:val="00EF7638"/>
    <w:rsid w:val="00EF799E"/>
    <w:rsid w:val="00EF7B21"/>
    <w:rsid w:val="00F0043B"/>
    <w:rsid w:val="00F00708"/>
    <w:rsid w:val="00F009B1"/>
    <w:rsid w:val="00F00A5B"/>
    <w:rsid w:val="00F00D7F"/>
    <w:rsid w:val="00F00F7A"/>
    <w:rsid w:val="00F00F8A"/>
    <w:rsid w:val="00F01DDF"/>
    <w:rsid w:val="00F0269C"/>
    <w:rsid w:val="00F0331D"/>
    <w:rsid w:val="00F035B9"/>
    <w:rsid w:val="00F03643"/>
    <w:rsid w:val="00F03768"/>
    <w:rsid w:val="00F03933"/>
    <w:rsid w:val="00F046F9"/>
    <w:rsid w:val="00F04F39"/>
    <w:rsid w:val="00F051C3"/>
    <w:rsid w:val="00F0550C"/>
    <w:rsid w:val="00F0592E"/>
    <w:rsid w:val="00F05B30"/>
    <w:rsid w:val="00F05BAE"/>
    <w:rsid w:val="00F0601C"/>
    <w:rsid w:val="00F067AD"/>
    <w:rsid w:val="00F06A74"/>
    <w:rsid w:val="00F06B22"/>
    <w:rsid w:val="00F06DA5"/>
    <w:rsid w:val="00F06EFC"/>
    <w:rsid w:val="00F07F4D"/>
    <w:rsid w:val="00F103E1"/>
    <w:rsid w:val="00F10556"/>
    <w:rsid w:val="00F106B7"/>
    <w:rsid w:val="00F10BF4"/>
    <w:rsid w:val="00F112FA"/>
    <w:rsid w:val="00F1137F"/>
    <w:rsid w:val="00F1155C"/>
    <w:rsid w:val="00F116F3"/>
    <w:rsid w:val="00F11719"/>
    <w:rsid w:val="00F119D6"/>
    <w:rsid w:val="00F12163"/>
    <w:rsid w:val="00F125B7"/>
    <w:rsid w:val="00F1279C"/>
    <w:rsid w:val="00F12DF0"/>
    <w:rsid w:val="00F12F23"/>
    <w:rsid w:val="00F12F39"/>
    <w:rsid w:val="00F13A35"/>
    <w:rsid w:val="00F13CC4"/>
    <w:rsid w:val="00F13F3A"/>
    <w:rsid w:val="00F14217"/>
    <w:rsid w:val="00F14504"/>
    <w:rsid w:val="00F14B91"/>
    <w:rsid w:val="00F14D03"/>
    <w:rsid w:val="00F15009"/>
    <w:rsid w:val="00F1514C"/>
    <w:rsid w:val="00F15438"/>
    <w:rsid w:val="00F156F8"/>
    <w:rsid w:val="00F1595D"/>
    <w:rsid w:val="00F15CDB"/>
    <w:rsid w:val="00F15FD9"/>
    <w:rsid w:val="00F1606E"/>
    <w:rsid w:val="00F1607D"/>
    <w:rsid w:val="00F163D1"/>
    <w:rsid w:val="00F16BB7"/>
    <w:rsid w:val="00F171CD"/>
    <w:rsid w:val="00F175DC"/>
    <w:rsid w:val="00F175FF"/>
    <w:rsid w:val="00F1773B"/>
    <w:rsid w:val="00F17942"/>
    <w:rsid w:val="00F17C19"/>
    <w:rsid w:val="00F17C94"/>
    <w:rsid w:val="00F17F59"/>
    <w:rsid w:val="00F2009D"/>
    <w:rsid w:val="00F201E6"/>
    <w:rsid w:val="00F20261"/>
    <w:rsid w:val="00F20365"/>
    <w:rsid w:val="00F20461"/>
    <w:rsid w:val="00F208B5"/>
    <w:rsid w:val="00F20957"/>
    <w:rsid w:val="00F20AC9"/>
    <w:rsid w:val="00F20CC5"/>
    <w:rsid w:val="00F21B02"/>
    <w:rsid w:val="00F2252B"/>
    <w:rsid w:val="00F226F8"/>
    <w:rsid w:val="00F2304B"/>
    <w:rsid w:val="00F230F2"/>
    <w:rsid w:val="00F230F5"/>
    <w:rsid w:val="00F23161"/>
    <w:rsid w:val="00F2321C"/>
    <w:rsid w:val="00F2364E"/>
    <w:rsid w:val="00F23799"/>
    <w:rsid w:val="00F237AC"/>
    <w:rsid w:val="00F238D5"/>
    <w:rsid w:val="00F23BB1"/>
    <w:rsid w:val="00F23CA5"/>
    <w:rsid w:val="00F23D28"/>
    <w:rsid w:val="00F244B2"/>
    <w:rsid w:val="00F24596"/>
    <w:rsid w:val="00F24876"/>
    <w:rsid w:val="00F249C5"/>
    <w:rsid w:val="00F24D37"/>
    <w:rsid w:val="00F24DB1"/>
    <w:rsid w:val="00F2504D"/>
    <w:rsid w:val="00F25596"/>
    <w:rsid w:val="00F259A4"/>
    <w:rsid w:val="00F259D3"/>
    <w:rsid w:val="00F2665A"/>
    <w:rsid w:val="00F26688"/>
    <w:rsid w:val="00F267D2"/>
    <w:rsid w:val="00F26804"/>
    <w:rsid w:val="00F26928"/>
    <w:rsid w:val="00F26B85"/>
    <w:rsid w:val="00F26C74"/>
    <w:rsid w:val="00F26C77"/>
    <w:rsid w:val="00F26EC5"/>
    <w:rsid w:val="00F26F11"/>
    <w:rsid w:val="00F26F54"/>
    <w:rsid w:val="00F271D3"/>
    <w:rsid w:val="00F27822"/>
    <w:rsid w:val="00F27979"/>
    <w:rsid w:val="00F27DB8"/>
    <w:rsid w:val="00F30358"/>
    <w:rsid w:val="00F3043C"/>
    <w:rsid w:val="00F30894"/>
    <w:rsid w:val="00F30A8C"/>
    <w:rsid w:val="00F30F73"/>
    <w:rsid w:val="00F31071"/>
    <w:rsid w:val="00F31367"/>
    <w:rsid w:val="00F31399"/>
    <w:rsid w:val="00F31869"/>
    <w:rsid w:val="00F3190A"/>
    <w:rsid w:val="00F31B2C"/>
    <w:rsid w:val="00F321B6"/>
    <w:rsid w:val="00F32597"/>
    <w:rsid w:val="00F329E5"/>
    <w:rsid w:val="00F32B16"/>
    <w:rsid w:val="00F32B5B"/>
    <w:rsid w:val="00F32BEB"/>
    <w:rsid w:val="00F32E50"/>
    <w:rsid w:val="00F33046"/>
    <w:rsid w:val="00F33471"/>
    <w:rsid w:val="00F33619"/>
    <w:rsid w:val="00F33A25"/>
    <w:rsid w:val="00F33A53"/>
    <w:rsid w:val="00F33CBE"/>
    <w:rsid w:val="00F34006"/>
    <w:rsid w:val="00F3412B"/>
    <w:rsid w:val="00F341F7"/>
    <w:rsid w:val="00F34B0A"/>
    <w:rsid w:val="00F34C34"/>
    <w:rsid w:val="00F35024"/>
    <w:rsid w:val="00F35567"/>
    <w:rsid w:val="00F3583E"/>
    <w:rsid w:val="00F359E7"/>
    <w:rsid w:val="00F35A4E"/>
    <w:rsid w:val="00F35B90"/>
    <w:rsid w:val="00F35BEC"/>
    <w:rsid w:val="00F35C82"/>
    <w:rsid w:val="00F35E33"/>
    <w:rsid w:val="00F35FDF"/>
    <w:rsid w:val="00F3645E"/>
    <w:rsid w:val="00F36472"/>
    <w:rsid w:val="00F36555"/>
    <w:rsid w:val="00F36630"/>
    <w:rsid w:val="00F36DF2"/>
    <w:rsid w:val="00F36F8A"/>
    <w:rsid w:val="00F37146"/>
    <w:rsid w:val="00F37468"/>
    <w:rsid w:val="00F37795"/>
    <w:rsid w:val="00F377F0"/>
    <w:rsid w:val="00F37E5B"/>
    <w:rsid w:val="00F4029C"/>
    <w:rsid w:val="00F405E0"/>
    <w:rsid w:val="00F40607"/>
    <w:rsid w:val="00F40C59"/>
    <w:rsid w:val="00F40D4C"/>
    <w:rsid w:val="00F41776"/>
    <w:rsid w:val="00F41CD5"/>
    <w:rsid w:val="00F41DE8"/>
    <w:rsid w:val="00F41F12"/>
    <w:rsid w:val="00F41F1C"/>
    <w:rsid w:val="00F42296"/>
    <w:rsid w:val="00F42441"/>
    <w:rsid w:val="00F428B8"/>
    <w:rsid w:val="00F42921"/>
    <w:rsid w:val="00F42D13"/>
    <w:rsid w:val="00F42F07"/>
    <w:rsid w:val="00F43084"/>
    <w:rsid w:val="00F4322D"/>
    <w:rsid w:val="00F433A0"/>
    <w:rsid w:val="00F43A58"/>
    <w:rsid w:val="00F43EE8"/>
    <w:rsid w:val="00F43F3E"/>
    <w:rsid w:val="00F43FAB"/>
    <w:rsid w:val="00F44108"/>
    <w:rsid w:val="00F4495E"/>
    <w:rsid w:val="00F44EBB"/>
    <w:rsid w:val="00F4529F"/>
    <w:rsid w:val="00F45832"/>
    <w:rsid w:val="00F45B63"/>
    <w:rsid w:val="00F45BA0"/>
    <w:rsid w:val="00F46041"/>
    <w:rsid w:val="00F461AE"/>
    <w:rsid w:val="00F4637D"/>
    <w:rsid w:val="00F46389"/>
    <w:rsid w:val="00F464C7"/>
    <w:rsid w:val="00F464FE"/>
    <w:rsid w:val="00F465BA"/>
    <w:rsid w:val="00F4692F"/>
    <w:rsid w:val="00F4697F"/>
    <w:rsid w:val="00F46C69"/>
    <w:rsid w:val="00F46E18"/>
    <w:rsid w:val="00F47F6D"/>
    <w:rsid w:val="00F504B2"/>
    <w:rsid w:val="00F50500"/>
    <w:rsid w:val="00F5070A"/>
    <w:rsid w:val="00F507F6"/>
    <w:rsid w:val="00F50DF0"/>
    <w:rsid w:val="00F50E3E"/>
    <w:rsid w:val="00F50E53"/>
    <w:rsid w:val="00F511B2"/>
    <w:rsid w:val="00F51B46"/>
    <w:rsid w:val="00F51BC4"/>
    <w:rsid w:val="00F51FBB"/>
    <w:rsid w:val="00F52042"/>
    <w:rsid w:val="00F5245B"/>
    <w:rsid w:val="00F52D51"/>
    <w:rsid w:val="00F52E10"/>
    <w:rsid w:val="00F53152"/>
    <w:rsid w:val="00F534E0"/>
    <w:rsid w:val="00F5365C"/>
    <w:rsid w:val="00F537D5"/>
    <w:rsid w:val="00F53A03"/>
    <w:rsid w:val="00F5404C"/>
    <w:rsid w:val="00F540CA"/>
    <w:rsid w:val="00F541D5"/>
    <w:rsid w:val="00F54C13"/>
    <w:rsid w:val="00F5510A"/>
    <w:rsid w:val="00F553E4"/>
    <w:rsid w:val="00F5615F"/>
    <w:rsid w:val="00F56190"/>
    <w:rsid w:val="00F56426"/>
    <w:rsid w:val="00F56459"/>
    <w:rsid w:val="00F56806"/>
    <w:rsid w:val="00F5688C"/>
    <w:rsid w:val="00F56A8E"/>
    <w:rsid w:val="00F57455"/>
    <w:rsid w:val="00F603ED"/>
    <w:rsid w:val="00F605FC"/>
    <w:rsid w:val="00F6080C"/>
    <w:rsid w:val="00F60C3B"/>
    <w:rsid w:val="00F60D0E"/>
    <w:rsid w:val="00F610CE"/>
    <w:rsid w:val="00F6123F"/>
    <w:rsid w:val="00F613FE"/>
    <w:rsid w:val="00F614DF"/>
    <w:rsid w:val="00F6243D"/>
    <w:rsid w:val="00F624C1"/>
    <w:rsid w:val="00F628C2"/>
    <w:rsid w:val="00F62F84"/>
    <w:rsid w:val="00F6356D"/>
    <w:rsid w:val="00F6364A"/>
    <w:rsid w:val="00F63731"/>
    <w:rsid w:val="00F63986"/>
    <w:rsid w:val="00F63995"/>
    <w:rsid w:val="00F64461"/>
    <w:rsid w:val="00F64823"/>
    <w:rsid w:val="00F6508F"/>
    <w:rsid w:val="00F65D37"/>
    <w:rsid w:val="00F65DDC"/>
    <w:rsid w:val="00F662EF"/>
    <w:rsid w:val="00F66961"/>
    <w:rsid w:val="00F6696B"/>
    <w:rsid w:val="00F66AAA"/>
    <w:rsid w:val="00F66B3E"/>
    <w:rsid w:val="00F66B47"/>
    <w:rsid w:val="00F66B79"/>
    <w:rsid w:val="00F66E4C"/>
    <w:rsid w:val="00F67006"/>
    <w:rsid w:val="00F6707D"/>
    <w:rsid w:val="00F6775B"/>
    <w:rsid w:val="00F67C54"/>
    <w:rsid w:val="00F67D70"/>
    <w:rsid w:val="00F702E8"/>
    <w:rsid w:val="00F70593"/>
    <w:rsid w:val="00F70746"/>
    <w:rsid w:val="00F709ED"/>
    <w:rsid w:val="00F70A33"/>
    <w:rsid w:val="00F70D3C"/>
    <w:rsid w:val="00F70DB9"/>
    <w:rsid w:val="00F71319"/>
    <w:rsid w:val="00F7142B"/>
    <w:rsid w:val="00F71605"/>
    <w:rsid w:val="00F71921"/>
    <w:rsid w:val="00F72C1B"/>
    <w:rsid w:val="00F72E5B"/>
    <w:rsid w:val="00F733B5"/>
    <w:rsid w:val="00F73507"/>
    <w:rsid w:val="00F738A9"/>
    <w:rsid w:val="00F73A6C"/>
    <w:rsid w:val="00F73BB0"/>
    <w:rsid w:val="00F74219"/>
    <w:rsid w:val="00F74680"/>
    <w:rsid w:val="00F747C1"/>
    <w:rsid w:val="00F748D3"/>
    <w:rsid w:val="00F74CDF"/>
    <w:rsid w:val="00F74F8C"/>
    <w:rsid w:val="00F75555"/>
    <w:rsid w:val="00F758D6"/>
    <w:rsid w:val="00F75928"/>
    <w:rsid w:val="00F75B0C"/>
    <w:rsid w:val="00F760EC"/>
    <w:rsid w:val="00F761EE"/>
    <w:rsid w:val="00F76864"/>
    <w:rsid w:val="00F76A9A"/>
    <w:rsid w:val="00F76FC1"/>
    <w:rsid w:val="00F77288"/>
    <w:rsid w:val="00F77721"/>
    <w:rsid w:val="00F77848"/>
    <w:rsid w:val="00F7794C"/>
    <w:rsid w:val="00F80270"/>
    <w:rsid w:val="00F80331"/>
    <w:rsid w:val="00F809FF"/>
    <w:rsid w:val="00F8235F"/>
    <w:rsid w:val="00F8286F"/>
    <w:rsid w:val="00F82E25"/>
    <w:rsid w:val="00F83391"/>
    <w:rsid w:val="00F833DA"/>
    <w:rsid w:val="00F83943"/>
    <w:rsid w:val="00F83AEF"/>
    <w:rsid w:val="00F83AF9"/>
    <w:rsid w:val="00F83B92"/>
    <w:rsid w:val="00F83D94"/>
    <w:rsid w:val="00F83E0E"/>
    <w:rsid w:val="00F8447F"/>
    <w:rsid w:val="00F84A3E"/>
    <w:rsid w:val="00F84F23"/>
    <w:rsid w:val="00F84F7E"/>
    <w:rsid w:val="00F8507E"/>
    <w:rsid w:val="00F85110"/>
    <w:rsid w:val="00F8534D"/>
    <w:rsid w:val="00F85399"/>
    <w:rsid w:val="00F853F7"/>
    <w:rsid w:val="00F85528"/>
    <w:rsid w:val="00F85F9D"/>
    <w:rsid w:val="00F8650E"/>
    <w:rsid w:val="00F8666E"/>
    <w:rsid w:val="00F866A7"/>
    <w:rsid w:val="00F86F32"/>
    <w:rsid w:val="00F87AB5"/>
    <w:rsid w:val="00F87B8C"/>
    <w:rsid w:val="00F87C16"/>
    <w:rsid w:val="00F900D9"/>
    <w:rsid w:val="00F905C3"/>
    <w:rsid w:val="00F90871"/>
    <w:rsid w:val="00F90FB4"/>
    <w:rsid w:val="00F9141C"/>
    <w:rsid w:val="00F917E4"/>
    <w:rsid w:val="00F91A5C"/>
    <w:rsid w:val="00F91AF8"/>
    <w:rsid w:val="00F91B2A"/>
    <w:rsid w:val="00F91C25"/>
    <w:rsid w:val="00F91CC5"/>
    <w:rsid w:val="00F91CEB"/>
    <w:rsid w:val="00F91D6C"/>
    <w:rsid w:val="00F91E2B"/>
    <w:rsid w:val="00F91F2B"/>
    <w:rsid w:val="00F921E5"/>
    <w:rsid w:val="00F924D8"/>
    <w:rsid w:val="00F9252A"/>
    <w:rsid w:val="00F92824"/>
    <w:rsid w:val="00F92B9A"/>
    <w:rsid w:val="00F92ED3"/>
    <w:rsid w:val="00F92F99"/>
    <w:rsid w:val="00F932FA"/>
    <w:rsid w:val="00F9330B"/>
    <w:rsid w:val="00F9345D"/>
    <w:rsid w:val="00F93487"/>
    <w:rsid w:val="00F9397D"/>
    <w:rsid w:val="00F93C93"/>
    <w:rsid w:val="00F93DFA"/>
    <w:rsid w:val="00F94854"/>
    <w:rsid w:val="00F94D9F"/>
    <w:rsid w:val="00F94E56"/>
    <w:rsid w:val="00F953B4"/>
    <w:rsid w:val="00F95503"/>
    <w:rsid w:val="00F95966"/>
    <w:rsid w:val="00F95986"/>
    <w:rsid w:val="00F95ACC"/>
    <w:rsid w:val="00F95C7C"/>
    <w:rsid w:val="00F95E8B"/>
    <w:rsid w:val="00F95F13"/>
    <w:rsid w:val="00F96082"/>
    <w:rsid w:val="00F968E4"/>
    <w:rsid w:val="00F96C72"/>
    <w:rsid w:val="00F9704F"/>
    <w:rsid w:val="00F9748D"/>
    <w:rsid w:val="00F977FE"/>
    <w:rsid w:val="00FA0B42"/>
    <w:rsid w:val="00FA0EFD"/>
    <w:rsid w:val="00FA0FE8"/>
    <w:rsid w:val="00FA14BF"/>
    <w:rsid w:val="00FA15E1"/>
    <w:rsid w:val="00FA1A96"/>
    <w:rsid w:val="00FA1B0B"/>
    <w:rsid w:val="00FA213E"/>
    <w:rsid w:val="00FA2762"/>
    <w:rsid w:val="00FA27E9"/>
    <w:rsid w:val="00FA280F"/>
    <w:rsid w:val="00FA2811"/>
    <w:rsid w:val="00FA29CE"/>
    <w:rsid w:val="00FA2A58"/>
    <w:rsid w:val="00FA391D"/>
    <w:rsid w:val="00FA394F"/>
    <w:rsid w:val="00FA3B6D"/>
    <w:rsid w:val="00FA4684"/>
    <w:rsid w:val="00FA47A7"/>
    <w:rsid w:val="00FA4E3F"/>
    <w:rsid w:val="00FA5073"/>
    <w:rsid w:val="00FA51EE"/>
    <w:rsid w:val="00FA5244"/>
    <w:rsid w:val="00FA5285"/>
    <w:rsid w:val="00FA57A1"/>
    <w:rsid w:val="00FA5841"/>
    <w:rsid w:val="00FA5A86"/>
    <w:rsid w:val="00FA5B52"/>
    <w:rsid w:val="00FA5C94"/>
    <w:rsid w:val="00FA61FF"/>
    <w:rsid w:val="00FA67BA"/>
    <w:rsid w:val="00FA6D11"/>
    <w:rsid w:val="00FA705E"/>
    <w:rsid w:val="00FA7275"/>
    <w:rsid w:val="00FA73AC"/>
    <w:rsid w:val="00FA7983"/>
    <w:rsid w:val="00FA7AC7"/>
    <w:rsid w:val="00FA7F2F"/>
    <w:rsid w:val="00FA7F38"/>
    <w:rsid w:val="00FA7FB8"/>
    <w:rsid w:val="00FB024E"/>
    <w:rsid w:val="00FB0391"/>
    <w:rsid w:val="00FB03CF"/>
    <w:rsid w:val="00FB09CE"/>
    <w:rsid w:val="00FB0BA4"/>
    <w:rsid w:val="00FB1103"/>
    <w:rsid w:val="00FB1982"/>
    <w:rsid w:val="00FB1EAD"/>
    <w:rsid w:val="00FB2315"/>
    <w:rsid w:val="00FB2705"/>
    <w:rsid w:val="00FB2885"/>
    <w:rsid w:val="00FB28C8"/>
    <w:rsid w:val="00FB35AE"/>
    <w:rsid w:val="00FB3787"/>
    <w:rsid w:val="00FB3A8F"/>
    <w:rsid w:val="00FB3C99"/>
    <w:rsid w:val="00FB3EA6"/>
    <w:rsid w:val="00FB45AB"/>
    <w:rsid w:val="00FB462F"/>
    <w:rsid w:val="00FB4802"/>
    <w:rsid w:val="00FB4BAE"/>
    <w:rsid w:val="00FB4FA5"/>
    <w:rsid w:val="00FB4FFB"/>
    <w:rsid w:val="00FB5504"/>
    <w:rsid w:val="00FB57CF"/>
    <w:rsid w:val="00FB5EF6"/>
    <w:rsid w:val="00FB5F9C"/>
    <w:rsid w:val="00FB61ED"/>
    <w:rsid w:val="00FB6A06"/>
    <w:rsid w:val="00FB7112"/>
    <w:rsid w:val="00FB75FC"/>
    <w:rsid w:val="00FB76AF"/>
    <w:rsid w:val="00FB7A9A"/>
    <w:rsid w:val="00FC0191"/>
    <w:rsid w:val="00FC0F44"/>
    <w:rsid w:val="00FC11A8"/>
    <w:rsid w:val="00FC1A4D"/>
    <w:rsid w:val="00FC1D11"/>
    <w:rsid w:val="00FC202E"/>
    <w:rsid w:val="00FC22BB"/>
    <w:rsid w:val="00FC2457"/>
    <w:rsid w:val="00FC2A17"/>
    <w:rsid w:val="00FC2A74"/>
    <w:rsid w:val="00FC31F4"/>
    <w:rsid w:val="00FC32C6"/>
    <w:rsid w:val="00FC3450"/>
    <w:rsid w:val="00FC3531"/>
    <w:rsid w:val="00FC38D2"/>
    <w:rsid w:val="00FC3914"/>
    <w:rsid w:val="00FC3B85"/>
    <w:rsid w:val="00FC3CD1"/>
    <w:rsid w:val="00FC40A7"/>
    <w:rsid w:val="00FC4103"/>
    <w:rsid w:val="00FC4221"/>
    <w:rsid w:val="00FC447A"/>
    <w:rsid w:val="00FC46B2"/>
    <w:rsid w:val="00FC4EAC"/>
    <w:rsid w:val="00FC50B8"/>
    <w:rsid w:val="00FC50DF"/>
    <w:rsid w:val="00FC5724"/>
    <w:rsid w:val="00FC579E"/>
    <w:rsid w:val="00FC62CC"/>
    <w:rsid w:val="00FC6B45"/>
    <w:rsid w:val="00FC6EDA"/>
    <w:rsid w:val="00FC6EF0"/>
    <w:rsid w:val="00FC70AA"/>
    <w:rsid w:val="00FC720A"/>
    <w:rsid w:val="00FC734A"/>
    <w:rsid w:val="00FC7480"/>
    <w:rsid w:val="00FC74C9"/>
    <w:rsid w:val="00FC77EC"/>
    <w:rsid w:val="00FC7CA4"/>
    <w:rsid w:val="00FD003F"/>
    <w:rsid w:val="00FD038B"/>
    <w:rsid w:val="00FD041E"/>
    <w:rsid w:val="00FD077C"/>
    <w:rsid w:val="00FD07A8"/>
    <w:rsid w:val="00FD0B61"/>
    <w:rsid w:val="00FD110E"/>
    <w:rsid w:val="00FD1372"/>
    <w:rsid w:val="00FD15F4"/>
    <w:rsid w:val="00FD1839"/>
    <w:rsid w:val="00FD1E1B"/>
    <w:rsid w:val="00FD227F"/>
    <w:rsid w:val="00FD2B4F"/>
    <w:rsid w:val="00FD352A"/>
    <w:rsid w:val="00FD3715"/>
    <w:rsid w:val="00FD3B4D"/>
    <w:rsid w:val="00FD4070"/>
    <w:rsid w:val="00FD4176"/>
    <w:rsid w:val="00FD42D9"/>
    <w:rsid w:val="00FD4959"/>
    <w:rsid w:val="00FD4A84"/>
    <w:rsid w:val="00FD4D2E"/>
    <w:rsid w:val="00FD4DEF"/>
    <w:rsid w:val="00FD4E94"/>
    <w:rsid w:val="00FD5E02"/>
    <w:rsid w:val="00FD5EEC"/>
    <w:rsid w:val="00FD5F31"/>
    <w:rsid w:val="00FD6112"/>
    <w:rsid w:val="00FD6207"/>
    <w:rsid w:val="00FD62B3"/>
    <w:rsid w:val="00FD67BD"/>
    <w:rsid w:val="00FD7DAA"/>
    <w:rsid w:val="00FD7EF0"/>
    <w:rsid w:val="00FE03C5"/>
    <w:rsid w:val="00FE06D5"/>
    <w:rsid w:val="00FE0C50"/>
    <w:rsid w:val="00FE0D6A"/>
    <w:rsid w:val="00FE1173"/>
    <w:rsid w:val="00FE11B8"/>
    <w:rsid w:val="00FE11FA"/>
    <w:rsid w:val="00FE1A4B"/>
    <w:rsid w:val="00FE1BB7"/>
    <w:rsid w:val="00FE1D0F"/>
    <w:rsid w:val="00FE2122"/>
    <w:rsid w:val="00FE25E8"/>
    <w:rsid w:val="00FE29EC"/>
    <w:rsid w:val="00FE2B9A"/>
    <w:rsid w:val="00FE2CBF"/>
    <w:rsid w:val="00FE2F50"/>
    <w:rsid w:val="00FE2FC3"/>
    <w:rsid w:val="00FE332B"/>
    <w:rsid w:val="00FE3478"/>
    <w:rsid w:val="00FE3C3E"/>
    <w:rsid w:val="00FE41F5"/>
    <w:rsid w:val="00FE458B"/>
    <w:rsid w:val="00FE4708"/>
    <w:rsid w:val="00FE4943"/>
    <w:rsid w:val="00FE4B29"/>
    <w:rsid w:val="00FE4E2A"/>
    <w:rsid w:val="00FE517E"/>
    <w:rsid w:val="00FE5272"/>
    <w:rsid w:val="00FE5CB1"/>
    <w:rsid w:val="00FE5D0C"/>
    <w:rsid w:val="00FE5D2B"/>
    <w:rsid w:val="00FE5ECB"/>
    <w:rsid w:val="00FE6401"/>
    <w:rsid w:val="00FE6434"/>
    <w:rsid w:val="00FE6A11"/>
    <w:rsid w:val="00FE6D98"/>
    <w:rsid w:val="00FE70A2"/>
    <w:rsid w:val="00FE70F8"/>
    <w:rsid w:val="00FE7176"/>
    <w:rsid w:val="00FE751A"/>
    <w:rsid w:val="00FE767D"/>
    <w:rsid w:val="00FE7856"/>
    <w:rsid w:val="00FE7F53"/>
    <w:rsid w:val="00FF0265"/>
    <w:rsid w:val="00FF04C5"/>
    <w:rsid w:val="00FF0605"/>
    <w:rsid w:val="00FF07D0"/>
    <w:rsid w:val="00FF0B6A"/>
    <w:rsid w:val="00FF0D57"/>
    <w:rsid w:val="00FF112B"/>
    <w:rsid w:val="00FF15CF"/>
    <w:rsid w:val="00FF1714"/>
    <w:rsid w:val="00FF17E4"/>
    <w:rsid w:val="00FF1DD7"/>
    <w:rsid w:val="00FF1F4E"/>
    <w:rsid w:val="00FF26FF"/>
    <w:rsid w:val="00FF2874"/>
    <w:rsid w:val="00FF2AA6"/>
    <w:rsid w:val="00FF2BE6"/>
    <w:rsid w:val="00FF2C38"/>
    <w:rsid w:val="00FF2D7A"/>
    <w:rsid w:val="00FF33CC"/>
    <w:rsid w:val="00FF3772"/>
    <w:rsid w:val="00FF38DC"/>
    <w:rsid w:val="00FF3DF0"/>
    <w:rsid w:val="00FF3EC6"/>
    <w:rsid w:val="00FF3EF9"/>
    <w:rsid w:val="00FF3FD7"/>
    <w:rsid w:val="00FF4084"/>
    <w:rsid w:val="00FF426A"/>
    <w:rsid w:val="00FF4B16"/>
    <w:rsid w:val="00FF4BBF"/>
    <w:rsid w:val="00FF5187"/>
    <w:rsid w:val="00FF5422"/>
    <w:rsid w:val="00FF6CEF"/>
    <w:rsid w:val="00FF6D7F"/>
    <w:rsid w:val="00FF742D"/>
    <w:rsid w:val="00FF7EA9"/>
    <w:rsid w:val="00FF7F69"/>
    <w:rsid w:val="00FF7FE9"/>
    <w:rsid w:val="03DD46E3"/>
    <w:rsid w:val="04090D79"/>
    <w:rsid w:val="04711833"/>
    <w:rsid w:val="0958323E"/>
    <w:rsid w:val="097F0787"/>
    <w:rsid w:val="0AC32A36"/>
    <w:rsid w:val="0CB71996"/>
    <w:rsid w:val="0F0B01A4"/>
    <w:rsid w:val="0F3C226C"/>
    <w:rsid w:val="11A366D9"/>
    <w:rsid w:val="13CF78B9"/>
    <w:rsid w:val="14AE0CE2"/>
    <w:rsid w:val="16983909"/>
    <w:rsid w:val="17511AC8"/>
    <w:rsid w:val="17CF5E05"/>
    <w:rsid w:val="191C7657"/>
    <w:rsid w:val="1B235355"/>
    <w:rsid w:val="1D047D10"/>
    <w:rsid w:val="1D7424CE"/>
    <w:rsid w:val="1F3D533C"/>
    <w:rsid w:val="1F6543AA"/>
    <w:rsid w:val="279C6C0D"/>
    <w:rsid w:val="28113F02"/>
    <w:rsid w:val="29785F92"/>
    <w:rsid w:val="29FC29BA"/>
    <w:rsid w:val="365D76E9"/>
    <w:rsid w:val="367406CF"/>
    <w:rsid w:val="371A2074"/>
    <w:rsid w:val="3B550B17"/>
    <w:rsid w:val="42A46226"/>
    <w:rsid w:val="47217772"/>
    <w:rsid w:val="4A4E6561"/>
    <w:rsid w:val="520C501E"/>
    <w:rsid w:val="535A0F35"/>
    <w:rsid w:val="55292D93"/>
    <w:rsid w:val="577556B9"/>
    <w:rsid w:val="59E549C3"/>
    <w:rsid w:val="5E416553"/>
    <w:rsid w:val="5F8865BE"/>
    <w:rsid w:val="617C55EC"/>
    <w:rsid w:val="67AA4488"/>
    <w:rsid w:val="6C686CF8"/>
    <w:rsid w:val="6C8A1C17"/>
    <w:rsid w:val="6D7E0CFB"/>
    <w:rsid w:val="6E4F3A72"/>
    <w:rsid w:val="6F7C40D6"/>
    <w:rsid w:val="7344455E"/>
    <w:rsid w:val="752F48C3"/>
    <w:rsid w:val="78B12181"/>
  </w:rsids>
  <m:mathPr>
    <m:mathFont m:val="Cambria Math"/>
    <m:brkBin m:val="before"/>
    <m:brkBinSub m:val="--"/>
    <m:smallFrac/>
    <m:dispDef/>
    <m:lMargin m:val="0"/>
    <m:rMargin m:val="0"/>
    <m:defJc m:val="centerGroup"/>
    <m:wrapIndent m:val="1440"/>
    <m:intLim m:val="undOvr"/>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541EEE"/>
  <w15:docId w15:val="{C5083637-8B30-4126-9D85-262028D91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qFormat="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lang w:val="zh-CN"/>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Theme="majorHAnsi" w:eastAsia="黑体" w:hAnsiTheme="majorHAnsi" w:cstheme="majorBidi"/>
      <w:sz w:val="20"/>
      <w:szCs w:val="20"/>
    </w:rPr>
  </w:style>
  <w:style w:type="paragraph" w:styleId="a4">
    <w:name w:val="Document Map"/>
    <w:basedOn w:val="a"/>
    <w:link w:val="a5"/>
    <w:uiPriority w:val="99"/>
    <w:semiHidden/>
    <w:unhideWhenUsed/>
    <w:qFormat/>
    <w:rPr>
      <w:rFonts w:ascii="宋体"/>
      <w:kern w:val="0"/>
      <w:sz w:val="18"/>
      <w:szCs w:val="18"/>
      <w:lang w:val="zh-CN"/>
    </w:rPr>
  </w:style>
  <w:style w:type="paragraph" w:styleId="a6">
    <w:name w:val="annotation text"/>
    <w:basedOn w:val="a"/>
    <w:link w:val="a7"/>
    <w:uiPriority w:val="99"/>
    <w:semiHidden/>
    <w:unhideWhenUsed/>
    <w:qFormat/>
    <w:pPr>
      <w:jc w:val="left"/>
    </w:pPr>
    <w:rPr>
      <w:lang w:val="zh-CN"/>
    </w:rPr>
  </w:style>
  <w:style w:type="paragraph" w:styleId="a8">
    <w:name w:val="Body Text Indent"/>
    <w:basedOn w:val="a"/>
    <w:link w:val="a9"/>
    <w:qFormat/>
    <w:pPr>
      <w:spacing w:line="420" w:lineRule="exact"/>
      <w:ind w:firstLineChars="200" w:firstLine="440"/>
    </w:pPr>
    <w:rPr>
      <w:color w:val="000000"/>
      <w:kern w:val="0"/>
      <w:sz w:val="22"/>
      <w:lang w:val="zh-CN"/>
    </w:rPr>
  </w:style>
  <w:style w:type="paragraph" w:styleId="31">
    <w:name w:val="toc 3"/>
    <w:basedOn w:val="a"/>
    <w:next w:val="a"/>
    <w:uiPriority w:val="39"/>
    <w:unhideWhenUsed/>
    <w:qFormat/>
    <w:pPr>
      <w:ind w:leftChars="400" w:left="840"/>
    </w:pPr>
  </w:style>
  <w:style w:type="paragraph" w:styleId="aa">
    <w:name w:val="Date"/>
    <w:basedOn w:val="a"/>
    <w:next w:val="a"/>
    <w:link w:val="ab"/>
    <w:uiPriority w:val="99"/>
    <w:semiHidden/>
    <w:unhideWhenUsed/>
    <w:qFormat/>
    <w:pPr>
      <w:ind w:leftChars="2500" w:left="100"/>
    </w:pPr>
  </w:style>
  <w:style w:type="paragraph" w:styleId="21">
    <w:name w:val="Body Text Indent 2"/>
    <w:basedOn w:val="a"/>
    <w:link w:val="22"/>
    <w:uiPriority w:val="99"/>
    <w:semiHidden/>
    <w:unhideWhenUsed/>
    <w:qFormat/>
    <w:pPr>
      <w:spacing w:after="120" w:line="480" w:lineRule="auto"/>
      <w:ind w:leftChars="200" w:left="420"/>
    </w:pPr>
  </w:style>
  <w:style w:type="paragraph" w:styleId="ac">
    <w:name w:val="endnote text"/>
    <w:basedOn w:val="a"/>
    <w:link w:val="ad"/>
    <w:uiPriority w:val="99"/>
    <w:semiHidden/>
    <w:unhideWhenUsed/>
    <w:qFormat/>
    <w:pPr>
      <w:snapToGrid w:val="0"/>
      <w:jc w:val="left"/>
    </w:pPr>
    <w:rPr>
      <w:kern w:val="0"/>
      <w:sz w:val="20"/>
      <w:lang w:val="zh-CN"/>
    </w:rPr>
  </w:style>
  <w:style w:type="paragraph" w:styleId="ae">
    <w:name w:val="Balloon Text"/>
    <w:basedOn w:val="a"/>
    <w:link w:val="af"/>
    <w:uiPriority w:val="99"/>
    <w:semiHidden/>
    <w:unhideWhenUsed/>
    <w:qFormat/>
    <w:rPr>
      <w:kern w:val="0"/>
      <w:sz w:val="18"/>
      <w:szCs w:val="18"/>
      <w:lang w:val="zh-CN"/>
    </w:rPr>
  </w:style>
  <w:style w:type="paragraph" w:styleId="af0">
    <w:name w:val="footer"/>
    <w:basedOn w:val="a"/>
    <w:link w:val="af1"/>
    <w:uiPriority w:val="99"/>
    <w:unhideWhenUsed/>
    <w:qFormat/>
    <w:pPr>
      <w:tabs>
        <w:tab w:val="center" w:pos="4153"/>
        <w:tab w:val="right" w:pos="8306"/>
      </w:tabs>
      <w:snapToGrid w:val="0"/>
      <w:jc w:val="left"/>
    </w:pPr>
    <w:rPr>
      <w:rFonts w:ascii="Calibri" w:hAnsi="Calibri"/>
      <w:kern w:val="0"/>
      <w:sz w:val="18"/>
      <w:szCs w:val="18"/>
      <w:lang w:val="zh-CN"/>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Calibri" w:hAnsi="Calibri"/>
      <w:kern w:val="0"/>
      <w:sz w:val="18"/>
      <w:szCs w:val="18"/>
      <w:lang w:val="zh-CN"/>
    </w:rPr>
  </w:style>
  <w:style w:type="paragraph" w:styleId="11">
    <w:name w:val="toc 1"/>
    <w:basedOn w:val="a"/>
    <w:next w:val="a"/>
    <w:uiPriority w:val="39"/>
    <w:unhideWhenUsed/>
    <w:qFormat/>
    <w:pPr>
      <w:tabs>
        <w:tab w:val="right" w:leader="dot" w:pos="8296"/>
      </w:tabs>
      <w:spacing w:line="360" w:lineRule="auto"/>
    </w:pPr>
    <w:rPr>
      <w:rFonts w:eastAsiaTheme="minorEastAsia"/>
      <w:b/>
      <w:bCs/>
      <w:sz w:val="24"/>
    </w:rPr>
  </w:style>
  <w:style w:type="paragraph" w:styleId="af4">
    <w:name w:val="footnote text"/>
    <w:basedOn w:val="a"/>
    <w:link w:val="af5"/>
    <w:uiPriority w:val="99"/>
    <w:unhideWhenUsed/>
    <w:qFormat/>
    <w:pPr>
      <w:snapToGrid w:val="0"/>
      <w:jc w:val="left"/>
    </w:pPr>
    <w:rPr>
      <w:kern w:val="0"/>
      <w:sz w:val="18"/>
      <w:szCs w:val="18"/>
      <w:lang w:val="zh-CN"/>
    </w:rPr>
  </w:style>
  <w:style w:type="paragraph" w:styleId="23">
    <w:name w:val="toc 2"/>
    <w:basedOn w:val="a"/>
    <w:next w:val="a"/>
    <w:uiPriority w:val="39"/>
    <w:unhideWhenUsed/>
    <w:qFormat/>
    <w:pPr>
      <w:tabs>
        <w:tab w:val="right" w:leader="dot" w:pos="8296"/>
      </w:tabs>
      <w:spacing w:line="360" w:lineRule="auto"/>
      <w:ind w:leftChars="200" w:left="420"/>
    </w:pPr>
    <w:rPr>
      <w:bCs/>
      <w:sz w:val="24"/>
    </w:rPr>
  </w:style>
  <w:style w:type="paragraph" w:styleId="HTML">
    <w:name w:val="HTML Preformatted"/>
    <w:basedOn w:val="a"/>
    <w:link w:val="HTML0"/>
    <w:uiPriority w:val="99"/>
    <w:semiHidden/>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7">
    <w:name w:val="annotation subject"/>
    <w:basedOn w:val="a6"/>
    <w:next w:val="a6"/>
    <w:link w:val="af8"/>
    <w:uiPriority w:val="99"/>
    <w:semiHidden/>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endnote reference"/>
    <w:uiPriority w:val="99"/>
    <w:semiHidden/>
    <w:unhideWhenUsed/>
    <w:qFormat/>
    <w:rPr>
      <w:vertAlign w:val="superscript"/>
    </w:rPr>
  </w:style>
  <w:style w:type="character" w:styleId="afc">
    <w:name w:val="page number"/>
    <w:basedOn w:val="a0"/>
    <w:qFormat/>
  </w:style>
  <w:style w:type="character" w:styleId="afd">
    <w:name w:val="Hyperlink"/>
    <w:uiPriority w:val="99"/>
    <w:unhideWhenUsed/>
    <w:qFormat/>
    <w:rPr>
      <w:color w:val="0563C1"/>
      <w:u w:val="single"/>
    </w:rPr>
  </w:style>
  <w:style w:type="character" w:styleId="HTML1">
    <w:name w:val="HTML Code"/>
    <w:basedOn w:val="a0"/>
    <w:uiPriority w:val="99"/>
    <w:semiHidden/>
    <w:unhideWhenUsed/>
    <w:qFormat/>
    <w:rPr>
      <w:rFonts w:ascii="宋体" w:eastAsia="宋体" w:hAnsi="宋体" w:cs="宋体"/>
      <w:sz w:val="24"/>
      <w:szCs w:val="24"/>
    </w:rPr>
  </w:style>
  <w:style w:type="character" w:styleId="afe">
    <w:name w:val="annotation reference"/>
    <w:uiPriority w:val="99"/>
    <w:semiHidden/>
    <w:unhideWhenUsed/>
    <w:qFormat/>
    <w:rPr>
      <w:sz w:val="21"/>
      <w:szCs w:val="21"/>
    </w:rPr>
  </w:style>
  <w:style w:type="character" w:styleId="aff">
    <w:name w:val="footnote reference"/>
    <w:uiPriority w:val="99"/>
    <w:unhideWhenUsed/>
    <w:qFormat/>
    <w:rPr>
      <w:vertAlign w:val="superscript"/>
    </w:rPr>
  </w:style>
  <w:style w:type="character" w:customStyle="1" w:styleId="af3">
    <w:name w:val="页眉 字符"/>
    <w:link w:val="af2"/>
    <w:uiPriority w:val="99"/>
    <w:semiHidden/>
    <w:qFormat/>
    <w:rPr>
      <w:sz w:val="18"/>
      <w:szCs w:val="18"/>
    </w:rPr>
  </w:style>
  <w:style w:type="character" w:customStyle="1" w:styleId="af1">
    <w:name w:val="页脚 字符"/>
    <w:link w:val="af0"/>
    <w:uiPriority w:val="99"/>
    <w:qFormat/>
    <w:rPr>
      <w:sz w:val="18"/>
      <w:szCs w:val="18"/>
    </w:rPr>
  </w:style>
  <w:style w:type="character" w:customStyle="1" w:styleId="a9">
    <w:name w:val="正文文本缩进 字符"/>
    <w:link w:val="a8"/>
    <w:qFormat/>
    <w:rPr>
      <w:rFonts w:ascii="Times New Roman" w:eastAsia="宋体" w:hAnsi="Times New Roman" w:cs="Times New Roman"/>
      <w:color w:val="000000"/>
      <w:sz w:val="22"/>
      <w:szCs w:val="24"/>
    </w:rPr>
  </w:style>
  <w:style w:type="character" w:customStyle="1" w:styleId="af">
    <w:name w:val="批注框文本 字符"/>
    <w:link w:val="ae"/>
    <w:uiPriority w:val="99"/>
    <w:semiHidden/>
    <w:qFormat/>
    <w:rPr>
      <w:rFonts w:ascii="Times New Roman" w:eastAsia="宋体" w:hAnsi="Times New Roman" w:cs="Times New Roman"/>
      <w:sz w:val="18"/>
      <w:szCs w:val="18"/>
    </w:rPr>
  </w:style>
  <w:style w:type="character" w:customStyle="1" w:styleId="a5">
    <w:name w:val="文档结构图 字符"/>
    <w:link w:val="a4"/>
    <w:uiPriority w:val="99"/>
    <w:semiHidden/>
    <w:qFormat/>
    <w:rPr>
      <w:rFonts w:ascii="宋体" w:eastAsia="宋体" w:hAnsi="Times New Roman" w:cs="Times New Roman"/>
      <w:sz w:val="18"/>
      <w:szCs w:val="18"/>
    </w:rPr>
  </w:style>
  <w:style w:type="character" w:customStyle="1" w:styleId="ad">
    <w:name w:val="尾注文本 字符"/>
    <w:link w:val="ac"/>
    <w:uiPriority w:val="99"/>
    <w:semiHidden/>
    <w:qFormat/>
    <w:rPr>
      <w:rFonts w:ascii="Times New Roman" w:eastAsia="宋体" w:hAnsi="Times New Roman" w:cs="Times New Roman"/>
      <w:szCs w:val="24"/>
    </w:rPr>
  </w:style>
  <w:style w:type="character" w:customStyle="1" w:styleId="af5">
    <w:name w:val="脚注文本 字符"/>
    <w:link w:val="af4"/>
    <w:uiPriority w:val="99"/>
    <w:qFormat/>
    <w:rPr>
      <w:rFonts w:ascii="Times New Roman" w:eastAsia="宋体" w:hAnsi="Times New Roman" w:cs="Times New Roman"/>
      <w:sz w:val="18"/>
      <w:szCs w:val="18"/>
    </w:rPr>
  </w:style>
  <w:style w:type="paragraph" w:styleId="aff0">
    <w:name w:val="List Paragraph"/>
    <w:basedOn w:val="a"/>
    <w:uiPriority w:val="34"/>
    <w:qFormat/>
    <w:pPr>
      <w:ind w:firstLineChars="200" w:firstLine="420"/>
    </w:pPr>
  </w:style>
  <w:style w:type="character" w:customStyle="1" w:styleId="10">
    <w:name w:val="标题 1 字符"/>
    <w:link w:val="1"/>
    <w:uiPriority w:val="9"/>
    <w:qFormat/>
    <w:rPr>
      <w:rFonts w:ascii="Times New Roman" w:hAnsi="Times New Roman"/>
      <w:b/>
      <w:bCs/>
      <w:kern w:val="44"/>
      <w:sz w:val="44"/>
      <w:szCs w:val="4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Char">
    <w:name w:val="Char"/>
    <w:basedOn w:val="a"/>
    <w:qFormat/>
    <w:pPr>
      <w:widowControl/>
      <w:spacing w:after="160" w:line="240" w:lineRule="exact"/>
      <w:jc w:val="left"/>
    </w:pPr>
    <w:rPr>
      <w:rFonts w:ascii="Verdana" w:eastAsia="Times New Roman" w:hAnsi="Verdana"/>
      <w:kern w:val="0"/>
      <w:sz w:val="20"/>
      <w:szCs w:val="20"/>
      <w:lang w:eastAsia="en-US"/>
    </w:rPr>
  </w:style>
  <w:style w:type="character" w:customStyle="1" w:styleId="a7">
    <w:name w:val="批注文字 字符"/>
    <w:link w:val="a6"/>
    <w:uiPriority w:val="99"/>
    <w:semiHidden/>
    <w:qFormat/>
    <w:rPr>
      <w:rFonts w:ascii="Times New Roman" w:hAnsi="Times New Roman"/>
      <w:kern w:val="2"/>
      <w:sz w:val="21"/>
      <w:szCs w:val="24"/>
    </w:rPr>
  </w:style>
  <w:style w:type="character" w:customStyle="1" w:styleId="af8">
    <w:name w:val="批注主题 字符"/>
    <w:link w:val="af7"/>
    <w:uiPriority w:val="99"/>
    <w:semiHidden/>
    <w:qFormat/>
    <w:rPr>
      <w:rFonts w:ascii="Times New Roman" w:hAnsi="Times New Roman"/>
      <w:b/>
      <w:bCs/>
      <w:kern w:val="2"/>
      <w:sz w:val="21"/>
      <w:szCs w:val="24"/>
    </w:rPr>
  </w:style>
  <w:style w:type="character" w:customStyle="1" w:styleId="30">
    <w:name w:val="标题 3 字符"/>
    <w:link w:val="3"/>
    <w:uiPriority w:val="9"/>
    <w:qFormat/>
    <w:rPr>
      <w:rFonts w:ascii="Times New Roman" w:hAnsi="Times New Roman"/>
      <w:b/>
      <w:bCs/>
      <w:kern w:val="2"/>
      <w:sz w:val="32"/>
      <w:szCs w:val="32"/>
    </w:rPr>
  </w:style>
  <w:style w:type="paragraph" w:customStyle="1" w:styleId="fl">
    <w:name w:val="fl"/>
    <w:basedOn w:val="a"/>
    <w:qFormat/>
    <w:pPr>
      <w:widowControl/>
      <w:spacing w:before="100" w:beforeAutospacing="1" w:after="100" w:afterAutospacing="1"/>
      <w:jc w:val="left"/>
    </w:pPr>
    <w:rPr>
      <w:rFonts w:ascii="宋体" w:hAnsi="宋体" w:cs="宋体"/>
      <w:kern w:val="0"/>
      <w:sz w:val="24"/>
    </w:rPr>
  </w:style>
  <w:style w:type="character" w:customStyle="1" w:styleId="22">
    <w:name w:val="正文文本缩进 2 字符"/>
    <w:basedOn w:val="a0"/>
    <w:link w:val="21"/>
    <w:uiPriority w:val="99"/>
    <w:semiHidden/>
    <w:qFormat/>
    <w:rPr>
      <w:rFonts w:ascii="Times New Roman" w:hAnsi="Times New Roman"/>
      <w:kern w:val="2"/>
      <w:sz w:val="21"/>
      <w:szCs w:val="24"/>
    </w:rPr>
  </w:style>
  <w:style w:type="character" w:styleId="aff1">
    <w:name w:val="Placeholder Text"/>
    <w:basedOn w:val="a0"/>
    <w:uiPriority w:val="99"/>
    <w:semiHidden/>
    <w:qFormat/>
    <w:rPr>
      <w:color w:val="808080"/>
    </w:rPr>
  </w:style>
  <w:style w:type="character" w:customStyle="1" w:styleId="HTML0">
    <w:name w:val="HTML 预设格式 字符"/>
    <w:basedOn w:val="a0"/>
    <w:link w:val="HTML"/>
    <w:uiPriority w:val="99"/>
    <w:semiHidden/>
    <w:qFormat/>
    <w:rPr>
      <w:rFonts w:ascii="宋体" w:hAnsi="宋体" w:cs="宋体"/>
      <w:sz w:val="24"/>
      <w:szCs w:val="24"/>
    </w:rPr>
  </w:style>
  <w:style w:type="character" w:customStyle="1" w:styleId="20">
    <w:name w:val="标题 2 字符"/>
    <w:basedOn w:val="a0"/>
    <w:link w:val="2"/>
    <w:uiPriority w:val="9"/>
    <w:qFormat/>
    <w:rPr>
      <w:rFonts w:asciiTheme="majorHAnsi" w:eastAsiaTheme="majorEastAsia" w:hAnsiTheme="majorHAnsi" w:cstheme="majorBidi"/>
      <w:b/>
      <w:bCs/>
      <w:kern w:val="2"/>
      <w:sz w:val="32"/>
      <w:szCs w:val="32"/>
    </w:rPr>
  </w:style>
  <w:style w:type="character" w:customStyle="1" w:styleId="ab">
    <w:name w:val="日期 字符"/>
    <w:basedOn w:val="a0"/>
    <w:link w:val="aa"/>
    <w:uiPriority w:val="99"/>
    <w:semiHidden/>
    <w:qFormat/>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22320;&#20215;&#24037;&#20316;\2022&#24180;&#24230;\1-&#21160;&#24577;&#30417;&#27979;\&#30465;&#32423;\&#30465;&#32423;&#25253;&#21578;\2022&#24180;&#24230;&#30465;&#32423;&#25253;&#21578;&#25968;&#25454;&#20998;&#26512;-&#22320;&#20215;&#27700;&#24179;050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669766837450701"/>
          <c:y val="6.7696843230457798E-2"/>
          <c:w val="0.81425641301030505"/>
          <c:h val="0.75177824148832095"/>
        </c:manualLayout>
      </c:layout>
      <c:lineChart>
        <c:grouping val="standard"/>
        <c:varyColors val="0"/>
        <c:ser>
          <c:idx val="0"/>
          <c:order val="0"/>
          <c:tx>
            <c:strRef>
              <c:f>'[2022年度省级报告数据分析-地价水平0504.xlsx]图5'!$A$2</c:f>
              <c:strCache>
                <c:ptCount val="1"/>
                <c:pt idx="0">
                  <c:v>商服</c:v>
                </c:pt>
              </c:strCache>
            </c:strRef>
          </c:tx>
          <c:spPr>
            <a:ln w="19050" cap="rnd" cmpd="sng" algn="ctr">
              <a:solidFill>
                <a:srgbClr val="FF0000"/>
              </a:solidFill>
              <a:prstDash val="solid"/>
              <a:round/>
            </a:ln>
          </c:spPr>
          <c:marker>
            <c:symbol val="circle"/>
            <c:size val="5"/>
            <c:spPr>
              <a:solidFill>
                <a:srgbClr val="ED1B24"/>
              </a:solidFill>
              <a:ln w="9525" cap="flat" cmpd="sng" algn="ctr">
                <a:noFill/>
                <a:prstDash val="solid"/>
                <a:round/>
              </a:ln>
              <a:effectLst/>
            </c:spPr>
          </c:marker>
          <c:cat>
            <c:numRef>
              <c:f>'[2022年度省级报告数据分析-地价水平0504.xlsx]图5'!$B$1:$P$1</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'[2022年度省级报告数据分析-地价水平0504.xlsx]图5'!$B$2:$P$2</c:f>
              <c:numCache>
                <c:formatCode>General</c:formatCode>
                <c:ptCount val="15"/>
                <c:pt idx="0">
                  <c:v>-1.54000000000001</c:v>
                </c:pt>
                <c:pt idx="1">
                  <c:v>8.1199999999999992</c:v>
                </c:pt>
                <c:pt idx="2">
                  <c:v>6.5400000000000098</c:v>
                </c:pt>
                <c:pt idx="3" formatCode="0.00_ ">
                  <c:v>5.78</c:v>
                </c:pt>
                <c:pt idx="4" formatCode="0.00_ ">
                  <c:v>2.9531003065567898</c:v>
                </c:pt>
                <c:pt idx="5" formatCode="0.00_ ">
                  <c:v>3.1009938644592099</c:v>
                </c:pt>
                <c:pt idx="6" formatCode="0.00_ ">
                  <c:v>-0.26</c:v>
                </c:pt>
                <c:pt idx="7" formatCode="0.00_ ">
                  <c:v>0.97</c:v>
                </c:pt>
                <c:pt idx="8" formatCode="0.00_ ">
                  <c:v>4.08</c:v>
                </c:pt>
                <c:pt idx="9" formatCode="0.00_ ">
                  <c:v>1.44</c:v>
                </c:pt>
                <c:pt idx="10" formatCode="0.00_ ">
                  <c:v>0.76</c:v>
                </c:pt>
                <c:pt idx="11" formatCode="0.00_ ">
                  <c:v>0.39</c:v>
                </c:pt>
                <c:pt idx="12" formatCode="0.00_ ">
                  <c:v>-1.03</c:v>
                </c:pt>
                <c:pt idx="13" formatCode="0.00_ ">
                  <c:v>-0.82</c:v>
                </c:pt>
                <c:pt idx="14" formatCode="0.00">
                  <c:v>-1.71</c:v>
                </c:pt>
              </c:numCache>
            </c:numRef>
          </c:val>
          <c:smooth val="0"/>
          <c:extLst>
            <c:ext xmlns:c16="http://schemas.microsoft.com/office/drawing/2014/chart" uri="{C3380CC4-5D6E-409C-BE32-E72D297353CC}">
              <c16:uniqueId val="{00000000-6D38-4174-B5D0-48602B33A800}"/>
            </c:ext>
          </c:extLst>
        </c:ser>
        <c:ser>
          <c:idx val="1"/>
          <c:order val="1"/>
          <c:tx>
            <c:strRef>
              <c:f>'[2022年度省级报告数据分析-地价水平0504.xlsx]图5'!$A$3</c:f>
              <c:strCache>
                <c:ptCount val="1"/>
                <c:pt idx="0">
                  <c:v>住宅</c:v>
                </c:pt>
              </c:strCache>
            </c:strRef>
          </c:tx>
          <c:spPr>
            <a:ln w="28575" cap="rnd" cmpd="sng" algn="ctr">
              <a:solidFill>
                <a:srgbClr val="FFFF00"/>
              </a:solidFill>
              <a:prstDash val="solid"/>
              <a:round/>
            </a:ln>
            <a:effectLst/>
          </c:spPr>
          <c:marker>
            <c:symbol val="circle"/>
            <c:size val="5"/>
            <c:spPr>
              <a:solidFill>
                <a:srgbClr val="FEF200"/>
              </a:solidFill>
              <a:ln w="9525" cap="flat" cmpd="sng" algn="ctr">
                <a:noFill/>
                <a:prstDash val="solid"/>
                <a:round/>
              </a:ln>
              <a:effectLst/>
            </c:spPr>
          </c:marker>
          <c:cat>
            <c:numRef>
              <c:f>'[2022年度省级报告数据分析-地价水平0504.xlsx]图5'!$B$1:$P$1</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'[2022年度省级报告数据分析-地价水平0504.xlsx]图5'!$B$3:$P$3</c:f>
              <c:numCache>
                <c:formatCode>General</c:formatCode>
                <c:ptCount val="15"/>
                <c:pt idx="0">
                  <c:v>-6.6500000000000101</c:v>
                </c:pt>
                <c:pt idx="1">
                  <c:v>11.75</c:v>
                </c:pt>
                <c:pt idx="2">
                  <c:v>9.4000000000000092</c:v>
                </c:pt>
                <c:pt idx="3" formatCode="0.00_ ">
                  <c:v>2.1800000000000099</c:v>
                </c:pt>
                <c:pt idx="4" formatCode="0.00_ ">
                  <c:v>0.41385382824721301</c:v>
                </c:pt>
                <c:pt idx="5" formatCode="0.00_ ">
                  <c:v>3.55069234586432</c:v>
                </c:pt>
                <c:pt idx="6" formatCode="0.00_ ">
                  <c:v>-1.92</c:v>
                </c:pt>
                <c:pt idx="7" formatCode="0.00_ ">
                  <c:v>2.36</c:v>
                </c:pt>
                <c:pt idx="8" formatCode="0.00_ ">
                  <c:v>20.079999999999998</c:v>
                </c:pt>
                <c:pt idx="9" formatCode="0.00_ ">
                  <c:v>5.0999999999999996</c:v>
                </c:pt>
                <c:pt idx="10" formatCode="0.00_ ">
                  <c:v>2.73</c:v>
                </c:pt>
                <c:pt idx="11" formatCode="0.00_ ">
                  <c:v>2.36</c:v>
                </c:pt>
                <c:pt idx="12" formatCode="0.00_ ">
                  <c:v>2.38</c:v>
                </c:pt>
                <c:pt idx="13" formatCode="0.00_ ">
                  <c:v>2.4300000000000002</c:v>
                </c:pt>
                <c:pt idx="14" formatCode="0.00">
                  <c:v>-0.98</c:v>
                </c:pt>
              </c:numCache>
            </c:numRef>
          </c:val>
          <c:smooth val="0"/>
          <c:extLst>
            <c:ext xmlns:c16="http://schemas.microsoft.com/office/drawing/2014/chart" uri="{C3380CC4-5D6E-409C-BE32-E72D297353CC}">
              <c16:uniqueId val="{00000001-6D38-4174-B5D0-48602B33A800}"/>
            </c:ext>
          </c:extLst>
        </c:ser>
        <c:ser>
          <c:idx val="2"/>
          <c:order val="2"/>
          <c:tx>
            <c:strRef>
              <c:f>'[2022年度省级报告数据分析-地价水平0504.xlsx]图5'!$A$4</c:f>
              <c:strCache>
                <c:ptCount val="1"/>
                <c:pt idx="0">
                  <c:v>工业</c:v>
                </c:pt>
              </c:strCache>
            </c:strRef>
          </c:tx>
          <c:spPr>
            <a:ln w="28575" cap="rnd" cmpd="sng" algn="ctr">
              <a:solidFill>
                <a:srgbClr val="B27C32"/>
              </a:solidFill>
              <a:prstDash val="solid"/>
              <a:round/>
            </a:ln>
            <a:effectLst/>
          </c:spPr>
          <c:marker>
            <c:symbol val="circle"/>
            <c:size val="5"/>
            <c:spPr>
              <a:solidFill>
                <a:srgbClr val="B27C32"/>
              </a:solidFill>
              <a:ln w="9525" cap="flat" cmpd="sng" algn="ctr">
                <a:noFill/>
                <a:prstDash val="solid"/>
                <a:round/>
              </a:ln>
              <a:effectLst/>
            </c:spPr>
          </c:marker>
          <c:cat>
            <c:numRef>
              <c:f>'[2022年度省级报告数据分析-地价水平0504.xlsx]图5'!$B$1:$P$1</c:f>
              <c:numCache>
                <c:formatCode>General</c:formatCode>
                <c:ptCount val="15"/>
                <c:pt idx="0">
                  <c:v>2008</c:v>
                </c:pt>
                <c:pt idx="1">
                  <c:v>2009</c:v>
                </c:pt>
                <c:pt idx="2">
                  <c:v>2010</c:v>
                </c:pt>
                <c:pt idx="3">
                  <c:v>2011</c:v>
                </c:pt>
                <c:pt idx="4">
                  <c:v>2012</c:v>
                </c:pt>
                <c:pt idx="5">
                  <c:v>2013</c:v>
                </c:pt>
                <c:pt idx="6">
                  <c:v>2014</c:v>
                </c:pt>
                <c:pt idx="7">
                  <c:v>2015</c:v>
                </c:pt>
                <c:pt idx="8">
                  <c:v>2016</c:v>
                </c:pt>
                <c:pt idx="9">
                  <c:v>2017</c:v>
                </c:pt>
                <c:pt idx="10">
                  <c:v>2018</c:v>
                </c:pt>
                <c:pt idx="11">
                  <c:v>2019</c:v>
                </c:pt>
                <c:pt idx="12">
                  <c:v>2020</c:v>
                </c:pt>
                <c:pt idx="13">
                  <c:v>2021</c:v>
                </c:pt>
                <c:pt idx="14">
                  <c:v>2022</c:v>
                </c:pt>
              </c:numCache>
            </c:numRef>
          </c:cat>
          <c:val>
            <c:numRef>
              <c:f>'[2022年度省级报告数据分析-地价水平0504.xlsx]图5'!$B$4:$P$4</c:f>
              <c:numCache>
                <c:formatCode>General</c:formatCode>
                <c:ptCount val="15"/>
                <c:pt idx="0">
                  <c:v>0.89000000000000101</c:v>
                </c:pt>
                <c:pt idx="1">
                  <c:v>0.70999999999999397</c:v>
                </c:pt>
                <c:pt idx="2">
                  <c:v>1</c:v>
                </c:pt>
                <c:pt idx="3" formatCode="0.00_ ">
                  <c:v>2.81</c:v>
                </c:pt>
                <c:pt idx="4" formatCode="0.00_ ">
                  <c:v>3.80807592258452</c:v>
                </c:pt>
                <c:pt idx="5" formatCode="0.00_ ">
                  <c:v>1.3887003914431799</c:v>
                </c:pt>
                <c:pt idx="6" formatCode="0.00_ ">
                  <c:v>1.29</c:v>
                </c:pt>
                <c:pt idx="7" formatCode="0.00_ ">
                  <c:v>0.66</c:v>
                </c:pt>
                <c:pt idx="8" formatCode="0.00_ ">
                  <c:v>0.98</c:v>
                </c:pt>
                <c:pt idx="9" formatCode="0.00_ ">
                  <c:v>0.89</c:v>
                </c:pt>
                <c:pt idx="10" formatCode="0.00_ ">
                  <c:v>0.65</c:v>
                </c:pt>
                <c:pt idx="11" formatCode="0.00_ ">
                  <c:v>0.59</c:v>
                </c:pt>
                <c:pt idx="12" formatCode="0.00_ ">
                  <c:v>0.72</c:v>
                </c:pt>
                <c:pt idx="13" formatCode="0.00_ ">
                  <c:v>0.53</c:v>
                </c:pt>
                <c:pt idx="14" formatCode="0.00">
                  <c:v>0.49</c:v>
                </c:pt>
              </c:numCache>
            </c:numRef>
          </c:val>
          <c:smooth val="0"/>
          <c:extLst>
            <c:ext xmlns:c16="http://schemas.microsoft.com/office/drawing/2014/chart" uri="{C3380CC4-5D6E-409C-BE32-E72D297353CC}">
              <c16:uniqueId val="{00000002-6D38-4174-B5D0-48602B33A800}"/>
            </c:ext>
          </c:extLst>
        </c:ser>
        <c:dLbls>
          <c:showLegendKey val="0"/>
          <c:showVal val="0"/>
          <c:showCatName val="0"/>
          <c:showSerName val="0"/>
          <c:showPercent val="0"/>
          <c:showBubbleSize val="0"/>
        </c:dLbls>
        <c:marker val="1"/>
        <c:smooth val="0"/>
        <c:axId val="252608624"/>
        <c:axId val="252609184"/>
      </c:lineChart>
      <c:catAx>
        <c:axId val="252608624"/>
        <c:scaling>
          <c:orientation val="minMax"/>
        </c:scaling>
        <c:delete val="0"/>
        <c:axPos val="b"/>
        <c:numFmt formatCode="General" sourceLinked="1"/>
        <c:majorTickMark val="none"/>
        <c:minorTickMark val="none"/>
        <c:tickLblPos val="low"/>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mn-cs"/>
              </a:defRPr>
            </a:pPr>
            <a:endParaRPr lang="zh-CN"/>
          </a:p>
        </c:txPr>
        <c:crossAx val="252609184"/>
        <c:crossesAt val="-6"/>
        <c:auto val="1"/>
        <c:lblAlgn val="ctr"/>
        <c:lblOffset val="100"/>
        <c:noMultiLvlLbl val="0"/>
      </c:catAx>
      <c:valAx>
        <c:axId val="252609184"/>
        <c:scaling>
          <c:orientation val="minMax"/>
        </c:scaling>
        <c:delete val="0"/>
        <c:axPos val="l"/>
        <c:majorGridlines>
          <c:spPr>
            <a:ln w="9525" cap="flat" cmpd="sng" algn="ctr">
              <a:solidFill>
                <a:srgbClr val="C7C7C7"/>
              </a:solidFill>
              <a:prstDash val="solid"/>
              <a:round/>
            </a:ln>
            <a:effectLst/>
          </c:spPr>
        </c:majorGridlines>
        <c:title>
          <c:tx>
            <c:rich>
              <a:bodyPr rot="-54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mn-cs"/>
                  </a:defRPr>
                </a:pPr>
                <a:r>
                  <a:rPr lang="zh-CN" b="0">
                    <a:solidFill>
                      <a:schemeClr val="tx1"/>
                    </a:solidFill>
                  </a:rPr>
                  <a:t>增长率（</a:t>
                </a:r>
                <a:r>
                  <a:rPr lang="en-US" b="0">
                    <a:solidFill>
                      <a:schemeClr val="tx1"/>
                    </a:solidFill>
                  </a:rPr>
                  <a:t>%</a:t>
                </a:r>
                <a:r>
                  <a:rPr lang="zh-CN" b="0">
                    <a:solidFill>
                      <a:schemeClr val="tx1"/>
                    </a:solidFill>
                  </a:rPr>
                  <a:t>）</a:t>
                </a:r>
              </a:p>
            </c:rich>
          </c:tx>
          <c:layout>
            <c:manualLayout>
              <c:xMode val="edge"/>
              <c:yMode val="edge"/>
              <c:x val="7.7259920634920598E-3"/>
              <c:y val="0.343885416666667"/>
            </c:manualLayout>
          </c:layout>
          <c:overlay val="0"/>
          <c:spPr>
            <a:noFill/>
            <a:ln>
              <a:noFill/>
            </a:ln>
            <a:effectLst/>
          </c:spPr>
        </c:title>
        <c:numFmt formatCode="#,##0.00_ " sourceLinked="0"/>
        <c:majorTickMark val="none"/>
        <c:minorTickMark val="none"/>
        <c:tickLblPos val="nextTo"/>
        <c:spPr>
          <a:noFill/>
          <a:ln w="6350" cap="flat" cmpd="sng" algn="ctr">
            <a:solidFill>
              <a:schemeClr val="tx1"/>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mn-cs"/>
              </a:defRPr>
            </a:pPr>
            <a:endParaRPr lang="zh-CN"/>
          </a:p>
        </c:txPr>
        <c:crossAx val="252608624"/>
        <c:crosses val="autoZero"/>
        <c:crossBetween val="between"/>
      </c:valAx>
      <c:spPr>
        <a:noFill/>
        <a:ln>
          <a:noFill/>
        </a:ln>
        <a:effectLst/>
      </c:spPr>
    </c:plotArea>
    <c:legend>
      <c:legendPos val="r"/>
      <c:layout>
        <c:manualLayout>
          <c:xMode val="edge"/>
          <c:yMode val="edge"/>
          <c:x val="0.25812754631143098"/>
          <c:y val="0.91160569094134503"/>
          <c:w val="0.48156632958731599"/>
          <c:h val="7.4900071641383695E-2"/>
        </c:manualLayout>
      </c:layout>
      <c:overlay val="0"/>
      <c:txPr>
        <a:bodyPr rot="0" spcFirstLastPara="0" vertOverflow="ellipsis" vert="horz" wrap="square" anchor="ctr" anchorCtr="1"/>
        <a:lstStyle/>
        <a:p>
          <a:pPr>
            <a:defRPr lang="zh-CN" sz="900" b="0" i="0" u="none" strike="noStrike" kern="1200" baseline="0">
              <a:solidFill>
                <a:schemeClr val="tx1"/>
              </a:solidFill>
              <a:latin typeface="Times New Roman" panose="02020603050405020304" charset="0"/>
              <a:ea typeface="+mn-ea"/>
              <a:cs typeface="+mn-cs"/>
            </a:defRPr>
          </a:pPr>
          <a:endParaRPr lang="zh-CN"/>
        </a:p>
      </c:txPr>
    </c:legend>
    <c:plotVisOnly val="1"/>
    <c:dispBlanksAs val="gap"/>
    <c:showDLblsOverMax val="0"/>
  </c:chart>
  <c:spPr>
    <a:noFill/>
    <a:ln w="9525" cap="flat" cmpd="sng" algn="ctr">
      <a:solidFill>
        <a:schemeClr val="tx1"/>
      </a:solidFill>
      <a:prstDash val="solid"/>
      <a:round/>
    </a:ln>
    <a:effectLst/>
  </c:spPr>
  <c:txPr>
    <a:bodyPr/>
    <a:lstStyle/>
    <a:p>
      <a:pPr>
        <a:defRPr lang="zh-CN" sz="900" baseline="0">
          <a:solidFill>
            <a:schemeClr val="tx1"/>
          </a:solidFill>
          <a:latin typeface="Times New Roman" panose="02020603050405020304"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0.14658</cdr:x>
      <cdr:y>0.60389</cdr:y>
    </cdr:from>
    <cdr:to>
      <cdr:x>0.95726</cdr:x>
      <cdr:y>0.60602</cdr:y>
    </cdr:to>
    <cdr:sp macro="" textlink="">
      <cdr:nvSpPr>
        <cdr:cNvPr id="2" name="直接连接符 1"/>
        <cdr:cNvSpPr/>
      </cdr:nvSpPr>
      <cdr:spPr>
        <a:xfrm xmlns:a="http://schemas.openxmlformats.org/drawingml/2006/main">
          <a:off x="694918" y="1675358"/>
          <a:ext cx="3843241" cy="5912"/>
        </a:xfrm>
        <a:prstGeom xmlns:a="http://schemas.openxmlformats.org/drawingml/2006/main" prst="line">
          <a:avLst/>
        </a:prstGeom>
        <a:ln xmlns:a="http://schemas.openxmlformats.org/drawingml/2006/main">
          <a:solidFill>
            <a:schemeClr val="tx1"/>
          </a:solidFill>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354F2E-94CA-4894-9CDC-571175766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452</Words>
  <Characters>2580</Characters>
  <Application>Microsoft Office Word</Application>
  <DocSecurity>0</DocSecurity>
  <Lines>21</Lines>
  <Paragraphs>6</Paragraphs>
  <ScaleCrop>false</ScaleCrop>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冯莉莉</dc:creator>
  <cp:lastModifiedBy>宋崇辉</cp:lastModifiedBy>
  <cp:revision>2</cp:revision>
  <cp:lastPrinted>2023-05-08T08:38:00Z</cp:lastPrinted>
  <dcterms:created xsi:type="dcterms:W3CDTF">2023-05-08T10:35:00Z</dcterms:created>
  <dcterms:modified xsi:type="dcterms:W3CDTF">2023-05-08T10:35:00Z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